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i/>
          <w:sz w:val="22"/>
          <w:szCs w:val="22"/>
        </w:rPr>
      </w:pPr>
      <w:r>
        <w:rPr>
          <w:rFonts w:ascii="Calibri" w:eastAsia="Calibri" w:hAnsi="Calibri" w:cs="Calibri"/>
          <w:b/>
        </w:rPr>
        <w:t>Zmluva o združenej dodávke elektrickej energie</w:t>
      </w:r>
      <w:r>
        <w:rPr>
          <w:rFonts w:ascii="Calibri" w:eastAsia="Calibri" w:hAnsi="Calibri" w:cs="Calibri"/>
          <w:b/>
          <w:sz w:val="22"/>
          <w:szCs w:val="22"/>
        </w:rPr>
        <w:t xml:space="preserve"> </w:t>
      </w:r>
      <w:r>
        <w:rPr>
          <w:rFonts w:ascii="Calibri" w:eastAsia="Calibri" w:hAnsi="Calibri" w:cs="Calibri"/>
          <w:b/>
        </w:rPr>
        <w:t xml:space="preserve">č. </w:t>
      </w:r>
    </w:p>
    <w:p w14:paraId="0000000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sz w:val="22"/>
          <w:szCs w:val="22"/>
        </w:rPr>
      </w:pPr>
      <w:r>
        <w:rPr>
          <w:rFonts w:ascii="Calibri" w:eastAsia="Calibri" w:hAnsi="Calibri" w:cs="Calibri"/>
          <w:sz w:val="22"/>
          <w:szCs w:val="22"/>
        </w:rPr>
        <w:t>vrátane prevzatia zodpovednosti za odchýlku</w:t>
      </w:r>
    </w:p>
    <w:p w14:paraId="0000000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i/>
          <w:sz w:val="22"/>
          <w:szCs w:val="22"/>
        </w:rPr>
      </w:pPr>
      <w:r>
        <w:rPr>
          <w:rFonts w:ascii="Calibri" w:eastAsia="Calibri" w:hAnsi="Calibri" w:cs="Calibri"/>
          <w:i/>
          <w:sz w:val="22"/>
          <w:szCs w:val="22"/>
        </w:rPr>
        <w:t>uzavretá podľa § 269 ods. 2 zák. č. 513/1991 Zb. Obchodný zákonník v znení neskorších predpisov</w:t>
      </w:r>
    </w:p>
    <w:p w14:paraId="0000000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i/>
          <w:sz w:val="22"/>
          <w:szCs w:val="22"/>
        </w:rPr>
      </w:pPr>
      <w:r>
        <w:rPr>
          <w:rFonts w:ascii="Calibri" w:eastAsia="Calibri" w:hAnsi="Calibri" w:cs="Calibri"/>
          <w:i/>
          <w:sz w:val="22"/>
          <w:szCs w:val="22"/>
        </w:rPr>
        <w:t>(ďalej len „zmluva“)</w:t>
      </w:r>
    </w:p>
    <w:p w14:paraId="00000005"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006" w14:textId="4BD5995B" w:rsidR="00474B94" w:rsidRPr="00CA2875" w:rsidRDefault="007952C8" w:rsidP="00CA2875">
      <w:pPr>
        <w:pBdr>
          <w:top w:val="none" w:sz="0" w:space="0" w:color="000000"/>
          <w:left w:val="none" w:sz="0" w:space="0" w:color="000000"/>
          <w:bottom w:val="none" w:sz="0" w:space="0" w:color="000000"/>
          <w:right w:val="none" w:sz="0" w:space="0" w:color="000000"/>
          <w:between w:val="none" w:sz="0" w:space="0" w:color="000000"/>
        </w:pBdr>
        <w:tabs>
          <w:tab w:val="left" w:pos="3119"/>
        </w:tabs>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t>medzi:</w:t>
      </w:r>
    </w:p>
    <w:p w14:paraId="00000009" w14:textId="2F2AF1E5" w:rsidR="00474B94" w:rsidRPr="00CA2875" w:rsidRDefault="007952C8" w:rsidP="00CA2875">
      <w:pPr>
        <w:pBdr>
          <w:top w:val="none" w:sz="0" w:space="0" w:color="000000"/>
          <w:left w:val="none" w:sz="0" w:space="0" w:color="000000"/>
          <w:bottom w:val="none" w:sz="0" w:space="0" w:color="000000"/>
          <w:right w:val="none" w:sz="0" w:space="0" w:color="000000"/>
          <w:between w:val="none" w:sz="0" w:space="0" w:color="000000"/>
        </w:pBdr>
        <w:tabs>
          <w:tab w:val="left" w:pos="3119"/>
        </w:tabs>
      </w:pPr>
      <w:r>
        <w:rPr>
          <w:rFonts w:ascii="Calibri" w:eastAsia="Calibri" w:hAnsi="Calibri" w:cs="Calibri"/>
          <w:b/>
          <w:sz w:val="22"/>
          <w:szCs w:val="22"/>
        </w:rPr>
        <w:t xml:space="preserve"> </w:t>
      </w:r>
    </w:p>
    <w:p w14:paraId="0000000A"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b/>
          <w:sz w:val="22"/>
          <w:szCs w:val="22"/>
        </w:rPr>
        <w:t>Dodávateľ:</w:t>
      </w:r>
      <w:r>
        <w:rPr>
          <w:rFonts w:ascii="Calibri" w:eastAsia="Calibri" w:hAnsi="Calibri" w:cs="Calibri"/>
          <w:b/>
          <w:sz w:val="22"/>
          <w:szCs w:val="22"/>
        </w:rPr>
        <w:tab/>
      </w:r>
    </w:p>
    <w:p w14:paraId="0000000B" w14:textId="77777777" w:rsidR="00474B94" w:rsidRDefault="007952C8">
      <w:pPr>
        <w:shd w:val="clear" w:color="auto" w:fill="D7E3BC"/>
        <w:tabs>
          <w:tab w:val="left" w:pos="3119"/>
        </w:tabs>
        <w:jc w:val="both"/>
        <w:rPr>
          <w:rFonts w:ascii="Calibri" w:eastAsia="Calibri" w:hAnsi="Calibri" w:cs="Calibri"/>
          <w:b/>
          <w:sz w:val="22"/>
          <w:szCs w:val="22"/>
        </w:rPr>
      </w:pPr>
      <w:r>
        <w:rPr>
          <w:rFonts w:ascii="Calibri" w:eastAsia="Calibri" w:hAnsi="Calibri" w:cs="Calibri"/>
          <w:sz w:val="22"/>
          <w:szCs w:val="22"/>
        </w:rPr>
        <w:t>Sídlo:</w:t>
      </w:r>
      <w:r>
        <w:rPr>
          <w:rFonts w:ascii="Calibri" w:eastAsia="Calibri" w:hAnsi="Calibri" w:cs="Calibri"/>
          <w:sz w:val="22"/>
          <w:szCs w:val="22"/>
        </w:rPr>
        <w:tab/>
      </w:r>
    </w:p>
    <w:p w14:paraId="0000000C" w14:textId="77777777" w:rsidR="00474B94" w:rsidRDefault="007952C8">
      <w:pPr>
        <w:shd w:val="clear" w:color="auto" w:fill="D7E3BC"/>
        <w:tabs>
          <w:tab w:val="left" w:pos="3119"/>
        </w:tabs>
        <w:jc w:val="both"/>
        <w:rPr>
          <w:rFonts w:ascii="Calibri" w:eastAsia="Calibri" w:hAnsi="Calibri" w:cs="Calibri"/>
          <w:sz w:val="22"/>
          <w:szCs w:val="22"/>
        </w:rPr>
      </w:pPr>
      <w:r>
        <w:rPr>
          <w:rFonts w:ascii="Calibri" w:eastAsia="Calibri" w:hAnsi="Calibri" w:cs="Calibri"/>
          <w:sz w:val="22"/>
          <w:szCs w:val="22"/>
        </w:rPr>
        <w:t>Právna forma:</w:t>
      </w:r>
      <w:r>
        <w:rPr>
          <w:rFonts w:ascii="Calibri" w:eastAsia="Calibri" w:hAnsi="Calibri" w:cs="Calibri"/>
          <w:sz w:val="22"/>
          <w:szCs w:val="22"/>
        </w:rPr>
        <w:tab/>
      </w:r>
    </w:p>
    <w:p w14:paraId="0000000D" w14:textId="77777777" w:rsidR="00474B94" w:rsidRDefault="007952C8">
      <w:pPr>
        <w:shd w:val="clear" w:color="auto" w:fill="D7E3BC"/>
        <w:tabs>
          <w:tab w:val="left" w:pos="3119"/>
        </w:tabs>
        <w:jc w:val="both"/>
        <w:rPr>
          <w:rFonts w:ascii="Calibri" w:eastAsia="Calibri" w:hAnsi="Calibri" w:cs="Calibri"/>
          <w:sz w:val="22"/>
          <w:szCs w:val="22"/>
        </w:rPr>
      </w:pPr>
      <w:r>
        <w:rPr>
          <w:rFonts w:ascii="Calibri" w:eastAsia="Calibri" w:hAnsi="Calibri" w:cs="Calibri"/>
          <w:sz w:val="22"/>
          <w:szCs w:val="22"/>
        </w:rPr>
        <w:t>IČO:</w:t>
      </w:r>
      <w:r>
        <w:rPr>
          <w:rFonts w:ascii="Calibri" w:eastAsia="Calibri" w:hAnsi="Calibri" w:cs="Calibri"/>
          <w:sz w:val="22"/>
          <w:szCs w:val="22"/>
        </w:rPr>
        <w:tab/>
      </w:r>
    </w:p>
    <w:p w14:paraId="0000000E" w14:textId="77777777" w:rsidR="00474B94" w:rsidRDefault="007952C8">
      <w:pPr>
        <w:shd w:val="clear" w:color="auto" w:fill="D7E3BC"/>
        <w:tabs>
          <w:tab w:val="left" w:pos="3119"/>
        </w:tabs>
        <w:jc w:val="both"/>
        <w:rPr>
          <w:rFonts w:ascii="Calibri" w:eastAsia="Calibri" w:hAnsi="Calibri" w:cs="Calibri"/>
          <w:sz w:val="22"/>
          <w:szCs w:val="22"/>
        </w:rPr>
      </w:pPr>
      <w:r>
        <w:rPr>
          <w:rFonts w:ascii="Calibri" w:eastAsia="Calibri" w:hAnsi="Calibri" w:cs="Calibri"/>
          <w:sz w:val="22"/>
          <w:szCs w:val="22"/>
        </w:rPr>
        <w:t>DIČ: </w:t>
      </w:r>
      <w:r>
        <w:rPr>
          <w:rFonts w:ascii="Calibri" w:eastAsia="Calibri" w:hAnsi="Calibri" w:cs="Calibri"/>
          <w:sz w:val="22"/>
          <w:szCs w:val="22"/>
        </w:rPr>
        <w:tab/>
      </w:r>
    </w:p>
    <w:p w14:paraId="0000000F" w14:textId="77777777" w:rsidR="00474B94" w:rsidRDefault="007952C8">
      <w:pPr>
        <w:shd w:val="clear" w:color="auto" w:fill="D7E3BC"/>
        <w:tabs>
          <w:tab w:val="left" w:pos="3119"/>
        </w:tabs>
        <w:jc w:val="both"/>
        <w:rPr>
          <w:rFonts w:ascii="Calibri" w:eastAsia="Calibri" w:hAnsi="Calibri" w:cs="Calibri"/>
          <w:sz w:val="22"/>
          <w:szCs w:val="22"/>
        </w:rPr>
      </w:pPr>
      <w:r>
        <w:rPr>
          <w:rFonts w:ascii="Calibri" w:eastAsia="Calibri" w:hAnsi="Calibri" w:cs="Calibri"/>
          <w:sz w:val="22"/>
          <w:szCs w:val="22"/>
        </w:rPr>
        <w:t>IČ DPH:</w:t>
      </w:r>
      <w:r>
        <w:rPr>
          <w:rFonts w:ascii="Calibri" w:eastAsia="Calibri" w:hAnsi="Calibri" w:cs="Calibri"/>
          <w:sz w:val="22"/>
          <w:szCs w:val="22"/>
        </w:rPr>
        <w:tab/>
      </w:r>
    </w:p>
    <w:p w14:paraId="00000010" w14:textId="77777777" w:rsidR="00474B94" w:rsidRDefault="007952C8">
      <w:pPr>
        <w:shd w:val="clear" w:color="auto" w:fill="D7E3BC"/>
        <w:ind w:left="3119" w:hanging="3119"/>
        <w:jc w:val="both"/>
        <w:rPr>
          <w:rFonts w:ascii="Calibri" w:eastAsia="Calibri" w:hAnsi="Calibri" w:cs="Calibri"/>
          <w:sz w:val="22"/>
          <w:szCs w:val="22"/>
        </w:rPr>
      </w:pPr>
      <w:r>
        <w:rPr>
          <w:rFonts w:ascii="Calibri" w:eastAsia="Calibri" w:hAnsi="Calibri" w:cs="Calibri"/>
          <w:sz w:val="22"/>
          <w:szCs w:val="22"/>
        </w:rPr>
        <w:t>Zapísaná v obchodnom registri:</w:t>
      </w:r>
      <w:r>
        <w:rPr>
          <w:rFonts w:ascii="Calibri" w:eastAsia="Calibri" w:hAnsi="Calibri" w:cs="Calibri"/>
          <w:sz w:val="22"/>
          <w:szCs w:val="22"/>
        </w:rPr>
        <w:tab/>
      </w:r>
    </w:p>
    <w:p w14:paraId="00000011" w14:textId="77777777" w:rsidR="00474B94" w:rsidRDefault="007952C8">
      <w:pPr>
        <w:shd w:val="clear" w:color="auto" w:fill="D7E3BC"/>
        <w:ind w:left="3119" w:hanging="3119"/>
        <w:rPr>
          <w:rFonts w:ascii="Calibri" w:eastAsia="Calibri" w:hAnsi="Calibri" w:cs="Calibri"/>
          <w:sz w:val="22"/>
          <w:szCs w:val="22"/>
        </w:rPr>
      </w:pPr>
      <w:r>
        <w:rPr>
          <w:rFonts w:ascii="Calibri" w:eastAsia="Calibri" w:hAnsi="Calibri" w:cs="Calibri"/>
          <w:sz w:val="22"/>
          <w:szCs w:val="22"/>
        </w:rPr>
        <w:t>v zastúpení:</w:t>
      </w:r>
      <w:r>
        <w:rPr>
          <w:rFonts w:ascii="Calibri" w:eastAsia="Calibri" w:hAnsi="Calibri" w:cs="Calibri"/>
          <w:sz w:val="22"/>
          <w:szCs w:val="22"/>
        </w:rPr>
        <w:tab/>
      </w:r>
    </w:p>
    <w:p w14:paraId="00000012" w14:textId="77777777" w:rsidR="00474B94" w:rsidRDefault="007952C8">
      <w:pPr>
        <w:shd w:val="clear" w:color="auto" w:fill="D7E3BC"/>
        <w:ind w:left="3119" w:hanging="2411"/>
        <w:rPr>
          <w:rFonts w:ascii="Calibri" w:eastAsia="Calibri" w:hAnsi="Calibri" w:cs="Calibri"/>
          <w:i/>
          <w:sz w:val="22"/>
          <w:szCs w:val="22"/>
        </w:rPr>
      </w:pPr>
      <w:r>
        <w:rPr>
          <w:rFonts w:ascii="Calibri" w:eastAsia="Calibri" w:hAnsi="Calibri" w:cs="Calibri"/>
          <w:i/>
          <w:sz w:val="22"/>
          <w:szCs w:val="22"/>
        </w:rPr>
        <w:t> </w:t>
      </w:r>
      <w:r>
        <w:rPr>
          <w:rFonts w:ascii="Calibri" w:eastAsia="Calibri" w:hAnsi="Calibri" w:cs="Calibri"/>
          <w:i/>
          <w:sz w:val="22"/>
          <w:szCs w:val="22"/>
        </w:rPr>
        <w:tab/>
      </w:r>
    </w:p>
    <w:p w14:paraId="00000013"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sz w:val="22"/>
          <w:szCs w:val="22"/>
        </w:rPr>
        <w:t>Bankové spojenie:</w:t>
      </w:r>
      <w:r>
        <w:rPr>
          <w:rFonts w:ascii="Calibri" w:eastAsia="Calibri" w:hAnsi="Calibri" w:cs="Calibri"/>
          <w:sz w:val="22"/>
          <w:szCs w:val="22"/>
        </w:rPr>
        <w:tab/>
      </w:r>
    </w:p>
    <w:p w14:paraId="00000014"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sz w:val="22"/>
          <w:szCs w:val="22"/>
        </w:rPr>
        <w:t>IBAN:</w:t>
      </w:r>
      <w:r>
        <w:rPr>
          <w:rFonts w:ascii="Calibri" w:eastAsia="Calibri" w:hAnsi="Calibri" w:cs="Calibri"/>
          <w:color w:val="FF0000"/>
          <w:sz w:val="22"/>
          <w:szCs w:val="22"/>
        </w:rPr>
        <w:t> </w:t>
      </w:r>
      <w:r>
        <w:rPr>
          <w:rFonts w:ascii="Calibri" w:eastAsia="Calibri" w:hAnsi="Calibri" w:cs="Calibri"/>
          <w:color w:val="FF0000"/>
          <w:sz w:val="22"/>
          <w:szCs w:val="22"/>
        </w:rPr>
        <w:tab/>
      </w:r>
    </w:p>
    <w:p w14:paraId="00000015"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sz w:val="22"/>
          <w:szCs w:val="22"/>
        </w:rPr>
        <w:t>SWIFT kód:</w:t>
      </w:r>
      <w:r>
        <w:rPr>
          <w:rFonts w:ascii="Calibri" w:eastAsia="Calibri" w:hAnsi="Calibri" w:cs="Calibri"/>
          <w:sz w:val="22"/>
          <w:szCs w:val="22"/>
        </w:rPr>
        <w:tab/>
      </w:r>
    </w:p>
    <w:p w14:paraId="00000016"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sz w:val="22"/>
          <w:szCs w:val="22"/>
        </w:rPr>
        <w:t>Tel. č.: </w:t>
      </w:r>
      <w:r>
        <w:rPr>
          <w:rFonts w:ascii="Calibri" w:eastAsia="Calibri" w:hAnsi="Calibri" w:cs="Calibri"/>
          <w:sz w:val="22"/>
          <w:szCs w:val="22"/>
        </w:rPr>
        <w:tab/>
      </w:r>
    </w:p>
    <w:p w14:paraId="00000017" w14:textId="56A916F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r>
        <w:rPr>
          <w:rFonts w:ascii="Calibri" w:eastAsia="Calibri" w:hAnsi="Calibri" w:cs="Calibri"/>
          <w:i/>
          <w:sz w:val="22"/>
          <w:szCs w:val="22"/>
        </w:rPr>
        <w:t xml:space="preserve">(ďalej len ako „dodávateľ“) </w:t>
      </w:r>
    </w:p>
    <w:p w14:paraId="0000001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0000001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a</w:t>
      </w:r>
    </w:p>
    <w:p w14:paraId="0000001A"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6FD2B756" w14:textId="77777777" w:rsidR="008702BD" w:rsidRPr="00F67869" w:rsidRDefault="007952C8" w:rsidP="008702BD">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 w:val="left" w:pos="4140"/>
        </w:tabs>
        <w:rPr>
          <w:rFonts w:ascii="Tahoma" w:hAnsi="Tahoma" w:cs="Tahoma"/>
          <w:b/>
          <w:color w:val="auto"/>
          <w:sz w:val="20"/>
          <w:szCs w:val="20"/>
        </w:rPr>
      </w:pPr>
      <w:r>
        <w:rPr>
          <w:rFonts w:ascii="Calibri" w:eastAsia="Calibri" w:hAnsi="Calibri" w:cs="Calibri"/>
          <w:b/>
          <w:sz w:val="22"/>
          <w:szCs w:val="22"/>
        </w:rPr>
        <w:t>Odberateľ:</w:t>
      </w:r>
      <w:r>
        <w:rPr>
          <w:rFonts w:ascii="Calibri" w:eastAsia="Calibri" w:hAnsi="Calibri" w:cs="Calibri"/>
          <w:b/>
          <w:sz w:val="22"/>
          <w:szCs w:val="22"/>
        </w:rPr>
        <w:tab/>
      </w:r>
    </w:p>
    <w:p w14:paraId="05A0F170"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 w:val="left" w:pos="4140"/>
        </w:tabs>
        <w:rPr>
          <w:rFonts w:ascii="Calibri" w:eastAsia="Calibri" w:hAnsi="Calibri" w:cs="Calibri"/>
          <w:b/>
          <w:sz w:val="22"/>
          <w:szCs w:val="22"/>
        </w:rPr>
      </w:pPr>
      <w:r w:rsidRPr="00F67869">
        <w:rPr>
          <w:rFonts w:ascii="Tahoma" w:hAnsi="Tahoma" w:cs="Tahoma"/>
          <w:b/>
          <w:color w:val="auto"/>
          <w:sz w:val="20"/>
          <w:szCs w:val="20"/>
        </w:rPr>
        <w:t>Podtatranská vodárenská prevádzková spoločnosť, a.s.</w:t>
      </w:r>
    </w:p>
    <w:p w14:paraId="0A5AFD54"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sz w:val="22"/>
          <w:szCs w:val="22"/>
        </w:rPr>
      </w:pPr>
      <w:r>
        <w:rPr>
          <w:rFonts w:ascii="Calibri" w:eastAsia="Calibri" w:hAnsi="Calibri" w:cs="Calibri"/>
          <w:sz w:val="22"/>
          <w:szCs w:val="22"/>
        </w:rPr>
        <w:t>Sídlo:</w:t>
      </w:r>
      <w:r>
        <w:rPr>
          <w:rFonts w:ascii="Calibri" w:eastAsia="Calibri" w:hAnsi="Calibri" w:cs="Calibri"/>
          <w:sz w:val="22"/>
          <w:szCs w:val="22"/>
        </w:rPr>
        <w:tab/>
      </w:r>
      <w:r w:rsidRPr="00F67869">
        <w:rPr>
          <w:rFonts w:ascii="Tahoma" w:hAnsi="Tahoma" w:cs="Tahoma"/>
          <w:color w:val="auto"/>
          <w:sz w:val="20"/>
          <w:szCs w:val="20"/>
        </w:rPr>
        <w:t>Hraničná  662/17, 058 89 Poprad</w:t>
      </w:r>
      <w:r>
        <w:rPr>
          <w:rFonts w:ascii="Calibri" w:eastAsia="Calibri" w:hAnsi="Calibri" w:cs="Calibri"/>
          <w:sz w:val="22"/>
          <w:szCs w:val="22"/>
        </w:rPr>
        <w:t xml:space="preserve"> </w:t>
      </w:r>
    </w:p>
    <w:p w14:paraId="5FB5365D"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sz w:val="22"/>
          <w:szCs w:val="22"/>
        </w:rPr>
      </w:pPr>
      <w:r>
        <w:rPr>
          <w:rFonts w:ascii="Calibri" w:eastAsia="Calibri" w:hAnsi="Calibri" w:cs="Calibri"/>
          <w:sz w:val="22"/>
          <w:szCs w:val="22"/>
        </w:rPr>
        <w:t>Právna forma:</w:t>
      </w:r>
      <w:r>
        <w:rPr>
          <w:rFonts w:ascii="Calibri" w:eastAsia="Calibri" w:hAnsi="Calibri" w:cs="Calibri"/>
          <w:sz w:val="22"/>
          <w:szCs w:val="22"/>
        </w:rPr>
        <w:tab/>
        <w:t>akciová spoločnosť</w:t>
      </w:r>
    </w:p>
    <w:p w14:paraId="45F36620"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sz w:val="22"/>
          <w:szCs w:val="22"/>
        </w:rPr>
      </w:pPr>
      <w:r>
        <w:rPr>
          <w:rFonts w:ascii="Calibri" w:eastAsia="Calibri" w:hAnsi="Calibri" w:cs="Calibri"/>
          <w:sz w:val="22"/>
          <w:szCs w:val="22"/>
        </w:rPr>
        <w:t>IČO:</w:t>
      </w:r>
      <w:r>
        <w:rPr>
          <w:rFonts w:ascii="Calibri" w:eastAsia="Calibri" w:hAnsi="Calibri" w:cs="Calibri"/>
          <w:sz w:val="22"/>
          <w:szCs w:val="22"/>
        </w:rPr>
        <w:tab/>
      </w:r>
      <w:r w:rsidRPr="00F67869">
        <w:rPr>
          <w:rFonts w:ascii="Tahoma" w:hAnsi="Tahoma" w:cs="Tahoma"/>
          <w:color w:val="auto"/>
          <w:sz w:val="20"/>
          <w:szCs w:val="20"/>
        </w:rPr>
        <w:t>36500968</w:t>
      </w:r>
    </w:p>
    <w:p w14:paraId="25A1B963"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sz w:val="22"/>
          <w:szCs w:val="22"/>
        </w:rPr>
      </w:pPr>
      <w:r>
        <w:rPr>
          <w:rFonts w:ascii="Calibri" w:eastAsia="Calibri" w:hAnsi="Calibri" w:cs="Calibri"/>
          <w:sz w:val="22"/>
          <w:szCs w:val="22"/>
        </w:rPr>
        <w:t>DIČ:</w:t>
      </w:r>
      <w:r>
        <w:rPr>
          <w:rFonts w:ascii="Calibri" w:eastAsia="Calibri" w:hAnsi="Calibri" w:cs="Calibri"/>
          <w:sz w:val="22"/>
          <w:szCs w:val="22"/>
        </w:rPr>
        <w:tab/>
      </w:r>
      <w:r w:rsidRPr="00F67869">
        <w:rPr>
          <w:rFonts w:ascii="Tahoma" w:hAnsi="Tahoma" w:cs="Tahoma"/>
          <w:color w:val="auto"/>
          <w:sz w:val="20"/>
          <w:szCs w:val="20"/>
        </w:rPr>
        <w:t>2021918459</w:t>
      </w:r>
    </w:p>
    <w:p w14:paraId="4851C3AF"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sz w:val="22"/>
          <w:szCs w:val="22"/>
        </w:rPr>
      </w:pPr>
      <w:r>
        <w:rPr>
          <w:rFonts w:ascii="Calibri" w:eastAsia="Calibri" w:hAnsi="Calibri" w:cs="Calibri"/>
          <w:sz w:val="22"/>
          <w:szCs w:val="22"/>
        </w:rPr>
        <w:t>IČ DPH:</w:t>
      </w:r>
      <w:r>
        <w:rPr>
          <w:rFonts w:ascii="Calibri" w:eastAsia="Calibri" w:hAnsi="Calibri" w:cs="Calibri"/>
          <w:sz w:val="22"/>
          <w:szCs w:val="22"/>
        </w:rPr>
        <w:tab/>
      </w:r>
      <w:r w:rsidRPr="00F67869">
        <w:rPr>
          <w:rFonts w:ascii="Arial" w:hAnsi="Arial" w:cs="Times New Roman"/>
          <w:color w:val="auto"/>
          <w:sz w:val="20"/>
          <w:szCs w:val="20"/>
        </w:rPr>
        <w:t>SK</w:t>
      </w:r>
      <w:r w:rsidRPr="00F67869">
        <w:rPr>
          <w:rFonts w:ascii="Tahoma" w:hAnsi="Tahoma" w:cs="Tahoma"/>
          <w:color w:val="auto"/>
          <w:sz w:val="20"/>
          <w:szCs w:val="20"/>
        </w:rPr>
        <w:t>2021918459</w:t>
      </w:r>
    </w:p>
    <w:p w14:paraId="03CCFDAC" w14:textId="77777777" w:rsidR="008702BD" w:rsidRDefault="008702BD" w:rsidP="008702BD">
      <w:pPr>
        <w:ind w:left="3119" w:hanging="3119"/>
        <w:rPr>
          <w:rFonts w:ascii="Calibri" w:eastAsia="Calibri" w:hAnsi="Calibri" w:cs="Calibri"/>
          <w:sz w:val="22"/>
          <w:szCs w:val="22"/>
        </w:rPr>
      </w:pPr>
      <w:r>
        <w:rPr>
          <w:rFonts w:ascii="Calibri" w:eastAsia="Calibri" w:hAnsi="Calibri" w:cs="Calibri"/>
          <w:sz w:val="22"/>
          <w:szCs w:val="22"/>
        </w:rPr>
        <w:t>Zapísaná v obchodnom registri:</w:t>
      </w:r>
      <w:r>
        <w:rPr>
          <w:rFonts w:ascii="Calibri" w:eastAsia="Calibri" w:hAnsi="Calibri" w:cs="Calibri"/>
          <w:sz w:val="22"/>
          <w:szCs w:val="22"/>
        </w:rPr>
        <w:tab/>
      </w:r>
      <w:r w:rsidRPr="0056075E">
        <w:rPr>
          <w:rFonts w:ascii="Arial" w:hAnsi="Arial" w:cs="Times New Roman"/>
          <w:color w:val="auto"/>
          <w:sz w:val="20"/>
          <w:szCs w:val="20"/>
        </w:rPr>
        <w:t xml:space="preserve">Okresného súdu </w:t>
      </w:r>
      <w:r w:rsidRPr="0056075E">
        <w:rPr>
          <w:rFonts w:ascii="Arial" w:hAnsi="Arial" w:cs="Times New Roman"/>
          <w:b/>
          <w:color w:val="auto"/>
          <w:sz w:val="20"/>
          <w:szCs w:val="20"/>
        </w:rPr>
        <w:t xml:space="preserve"> </w:t>
      </w:r>
      <w:r w:rsidRPr="0056075E">
        <w:rPr>
          <w:rFonts w:ascii="Tahoma" w:hAnsi="Tahoma" w:cs="Tahoma"/>
          <w:color w:val="auto"/>
          <w:sz w:val="20"/>
          <w:szCs w:val="20"/>
        </w:rPr>
        <w:t>Banská Bystrica</w:t>
      </w:r>
      <w:r>
        <w:rPr>
          <w:rFonts w:ascii="Tahoma" w:hAnsi="Tahoma" w:cs="Tahoma"/>
          <w:color w:val="auto"/>
          <w:sz w:val="20"/>
          <w:szCs w:val="20"/>
        </w:rPr>
        <w:t xml:space="preserve">, </w:t>
      </w:r>
      <w:r w:rsidRPr="0056075E">
        <w:rPr>
          <w:rFonts w:ascii="Arial" w:hAnsi="Arial" w:cs="Times New Roman"/>
          <w:color w:val="auto"/>
          <w:sz w:val="20"/>
          <w:szCs w:val="20"/>
        </w:rPr>
        <w:t xml:space="preserve">Odd.:Sa, vložka číslo: </w:t>
      </w:r>
      <w:r w:rsidRPr="0056075E">
        <w:rPr>
          <w:rFonts w:ascii="Tahoma" w:hAnsi="Tahoma" w:cs="Tahoma"/>
          <w:color w:val="auto"/>
          <w:sz w:val="20"/>
          <w:szCs w:val="20"/>
        </w:rPr>
        <w:t>840/S</w:t>
      </w:r>
    </w:p>
    <w:p w14:paraId="6A2C74F1" w14:textId="77777777" w:rsidR="008702BD" w:rsidRPr="0056075E"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r>
        <w:rPr>
          <w:rFonts w:ascii="Calibri" w:eastAsia="Calibri" w:hAnsi="Calibri" w:cs="Calibri"/>
          <w:sz w:val="22"/>
          <w:szCs w:val="22"/>
        </w:rPr>
        <w:t>v zastúpení:</w:t>
      </w:r>
      <w:r>
        <w:rPr>
          <w:rFonts w:ascii="Calibri" w:eastAsia="Calibri" w:hAnsi="Calibri" w:cs="Calibri"/>
          <w:sz w:val="22"/>
          <w:szCs w:val="22"/>
        </w:rPr>
        <w:tab/>
      </w:r>
      <w:r w:rsidRPr="0056075E">
        <w:rPr>
          <w:rFonts w:ascii="Calibri" w:eastAsia="Calibri" w:hAnsi="Calibri" w:cs="Calibri"/>
          <w:sz w:val="22"/>
          <w:szCs w:val="22"/>
        </w:rPr>
        <w:t>Ing. Robert Tencer – člen predstavenstva, a.s.</w:t>
      </w:r>
    </w:p>
    <w:p w14:paraId="468F2A00"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sidRPr="0056075E">
        <w:rPr>
          <w:rFonts w:ascii="Calibri" w:eastAsia="Calibri" w:hAnsi="Calibri" w:cs="Calibri"/>
          <w:sz w:val="22"/>
          <w:szCs w:val="22"/>
        </w:rPr>
        <w:t>Ing. Peter Martinka, člen predstavenstva a.s.</w:t>
      </w:r>
    </w:p>
    <w:p w14:paraId="7D4B23C7"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r w:rsidRPr="00B13AC3">
        <w:rPr>
          <w:rFonts w:ascii="Calibri" w:eastAsia="Calibri" w:hAnsi="Calibri" w:cs="Calibri"/>
          <w:sz w:val="22"/>
          <w:szCs w:val="22"/>
        </w:rPr>
        <w:t>Technické náležitosti:</w:t>
      </w:r>
      <w:r>
        <w:rPr>
          <w:rFonts w:ascii="Calibri" w:eastAsia="Calibri" w:hAnsi="Calibri" w:cs="Calibri"/>
          <w:sz w:val="22"/>
          <w:szCs w:val="22"/>
        </w:rPr>
        <w:tab/>
        <w:t xml:space="preserve">Vladimír Mikolajčík, e-mail: </w:t>
      </w:r>
      <w:r w:rsidRPr="00FE0A83">
        <w:rPr>
          <w:rFonts w:ascii="Calibri" w:eastAsia="Calibri" w:hAnsi="Calibri" w:cs="Calibri"/>
          <w:sz w:val="22"/>
          <w:szCs w:val="22"/>
        </w:rPr>
        <w:t>vladimir.mikolajcik@pvpsas.sk</w:t>
      </w:r>
    </w:p>
    <w:p w14:paraId="46A88B12" w14:textId="77777777" w:rsidR="008702BD" w:rsidRPr="0056075E"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r w:rsidRPr="0056075E">
        <w:rPr>
          <w:rFonts w:ascii="Calibri" w:eastAsia="Calibri" w:hAnsi="Calibri" w:cs="Calibri"/>
          <w:sz w:val="22"/>
          <w:szCs w:val="22"/>
        </w:rPr>
        <w:t>Bankové spojenie:</w:t>
      </w:r>
      <w:r w:rsidRPr="0056075E">
        <w:rPr>
          <w:rFonts w:ascii="Calibri" w:eastAsia="Calibri" w:hAnsi="Calibri" w:cs="Calibri"/>
          <w:sz w:val="22"/>
          <w:szCs w:val="22"/>
        </w:rPr>
        <w:tab/>
      </w:r>
      <w:r>
        <w:rPr>
          <w:rFonts w:ascii="Calibri" w:eastAsia="Calibri" w:hAnsi="Calibri" w:cs="Calibri"/>
          <w:sz w:val="22"/>
          <w:szCs w:val="22"/>
        </w:rPr>
        <w:t>VÚB, a.s., pobočka Poprad</w:t>
      </w:r>
    </w:p>
    <w:p w14:paraId="4AEBFC18"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Arial" w:hAnsi="Arial" w:cs="Arial"/>
          <w:color w:val="auto"/>
          <w:sz w:val="20"/>
          <w:szCs w:val="20"/>
        </w:rPr>
      </w:pPr>
      <w:r w:rsidRPr="0056075E">
        <w:rPr>
          <w:rFonts w:ascii="Calibri" w:eastAsia="Calibri" w:hAnsi="Calibri" w:cs="Calibri"/>
          <w:sz w:val="22"/>
          <w:szCs w:val="22"/>
        </w:rPr>
        <w:t>IBAN: </w:t>
      </w:r>
      <w:r w:rsidRPr="0056075E">
        <w:rPr>
          <w:rFonts w:ascii="Calibri" w:eastAsia="Calibri" w:hAnsi="Calibri" w:cs="Calibri"/>
          <w:sz w:val="22"/>
          <w:szCs w:val="22"/>
        </w:rPr>
        <w:tab/>
      </w:r>
      <w:r w:rsidRPr="00F67869">
        <w:rPr>
          <w:rFonts w:ascii="Arial" w:hAnsi="Arial" w:cs="Arial"/>
          <w:color w:val="auto"/>
          <w:sz w:val="20"/>
          <w:szCs w:val="20"/>
        </w:rPr>
        <w:t>SK2602000000001930769056</w:t>
      </w:r>
    </w:p>
    <w:p w14:paraId="5A32F44B" w14:textId="77777777" w:rsidR="008702BD" w:rsidRDefault="008702BD" w:rsidP="008702BD">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Arial" w:hAnsi="Arial" w:cs="Arial"/>
          <w:color w:val="auto"/>
          <w:sz w:val="20"/>
          <w:szCs w:val="20"/>
        </w:rPr>
      </w:pPr>
      <w:r w:rsidRPr="0056075E">
        <w:rPr>
          <w:rFonts w:ascii="Calibri" w:eastAsia="Calibri" w:hAnsi="Calibri" w:cs="Calibri"/>
          <w:sz w:val="22"/>
          <w:szCs w:val="22"/>
        </w:rPr>
        <w:t>SWIFT kód:</w:t>
      </w:r>
      <w:r>
        <w:rPr>
          <w:rFonts w:ascii="Calibri" w:eastAsia="Calibri" w:hAnsi="Calibri" w:cs="Calibri"/>
          <w:sz w:val="22"/>
          <w:szCs w:val="22"/>
        </w:rPr>
        <w:tab/>
      </w:r>
      <w:r w:rsidRPr="00F67869">
        <w:rPr>
          <w:rFonts w:ascii="Arial" w:hAnsi="Arial" w:cs="Arial"/>
          <w:color w:val="auto"/>
          <w:sz w:val="20"/>
          <w:szCs w:val="20"/>
        </w:rPr>
        <w:t>SUBASKBX</w:t>
      </w:r>
    </w:p>
    <w:p w14:paraId="00000027"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p>
    <w:p w14:paraId="00000028" w14:textId="202D9DFA"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r>
        <w:rPr>
          <w:rFonts w:ascii="Calibri" w:eastAsia="Calibri" w:hAnsi="Calibri" w:cs="Calibri"/>
          <w:i/>
          <w:sz w:val="22"/>
          <w:szCs w:val="22"/>
        </w:rPr>
        <w:t xml:space="preserve">(ďalej len ako „odberateľ“) </w:t>
      </w:r>
    </w:p>
    <w:p w14:paraId="00000029" w14:textId="68F3564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0000002A" w14:textId="3BDD1B7F"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r>
        <w:rPr>
          <w:rFonts w:ascii="Calibri" w:eastAsia="Calibri" w:hAnsi="Calibri" w:cs="Calibri"/>
          <w:i/>
          <w:sz w:val="22"/>
          <w:szCs w:val="22"/>
        </w:rPr>
        <w:t xml:space="preserve">(ďalej spolu tiež ako „zmluvné strany“ alebo samostatne ako „zmluvná strana“) </w:t>
      </w:r>
    </w:p>
    <w:p w14:paraId="695935FF" w14:textId="77777777" w:rsidR="00A62B92" w:rsidRDefault="00A62B92">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1E79573F" w14:textId="77777777" w:rsidR="00A62B92" w:rsidRDefault="00A62B92">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3014DD09" w14:textId="77777777" w:rsidR="00A62B92" w:rsidRDefault="00A62B92">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2B70713F" w14:textId="77777777" w:rsidR="00A62B92" w:rsidRDefault="00A62B92">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0000002C"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1790"/>
          <w:tab w:val="center" w:pos="4532"/>
        </w:tabs>
        <w:rPr>
          <w:rFonts w:ascii="Calibri" w:eastAsia="Calibri" w:hAnsi="Calibri" w:cs="Calibri"/>
          <w:b/>
          <w:i/>
          <w:sz w:val="22"/>
          <w:szCs w:val="22"/>
        </w:rPr>
      </w:pPr>
      <w:r>
        <w:rPr>
          <w:rFonts w:ascii="Calibri" w:eastAsia="Calibri" w:hAnsi="Calibri" w:cs="Calibri"/>
          <w:b/>
          <w:i/>
          <w:sz w:val="22"/>
          <w:szCs w:val="22"/>
        </w:rPr>
        <w:tab/>
      </w:r>
      <w:r>
        <w:rPr>
          <w:rFonts w:ascii="Calibri" w:eastAsia="Calibri" w:hAnsi="Calibri" w:cs="Calibri"/>
          <w:b/>
          <w:i/>
          <w:sz w:val="22"/>
          <w:szCs w:val="22"/>
        </w:rPr>
        <w:tab/>
        <w:t>Preambula</w:t>
      </w:r>
    </w:p>
    <w:p w14:paraId="0000002D" w14:textId="77777777" w:rsidR="00474B94" w:rsidRPr="0082467C"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sz w:val="22"/>
          <w:szCs w:val="22"/>
        </w:rPr>
      </w:pPr>
      <w:r w:rsidRPr="0082467C">
        <w:rPr>
          <w:rFonts w:ascii="Calibri" w:eastAsia="Calibri" w:hAnsi="Calibri" w:cs="Calibri"/>
          <w:sz w:val="22"/>
          <w:szCs w:val="22"/>
        </w:rPr>
        <w:t>Túto zmluvu uzatvára Odberateľ ako obstarávateľ s Dodávateľom ako úspešným uchádzačom zákazky s názvom: „</w:t>
      </w:r>
      <w:r w:rsidRPr="00BC48C3">
        <w:rPr>
          <w:rFonts w:ascii="Calibri" w:eastAsia="Arial" w:hAnsi="Calibri" w:cs="Calibri"/>
          <w:b/>
          <w:i/>
          <w:color w:val="262626"/>
          <w:sz w:val="22"/>
          <w:szCs w:val="22"/>
        </w:rPr>
        <w:t xml:space="preserve">Dodávka elektrickej energie na obdobie od 1.1.2025 – 31.12.2027“ </w:t>
      </w:r>
      <w:r w:rsidRPr="0082467C">
        <w:rPr>
          <w:rFonts w:ascii="Calibri" w:eastAsia="Calibri" w:hAnsi="Calibri" w:cs="Calibri"/>
          <w:sz w:val="22"/>
          <w:szCs w:val="22"/>
        </w:rPr>
        <w:t>pod spis. č. ...... vyhlásenej Odberateľom v zriadenom dynamickom nákupnom systéme s názvom „DNS na dodávky elektriny  vyhláseného oznámením o vyhlásení verejného obstarávania uverejnenom v Úradnom vestníku EÚ pod ...................................................</w:t>
      </w:r>
    </w:p>
    <w:p w14:paraId="0000002E" w14:textId="77777777" w:rsidR="00474B94" w:rsidRPr="0082467C"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0000002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II.</w:t>
      </w:r>
    </w:p>
    <w:p w14:paraId="0000003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Predmet zmluvy a miesto plnenia</w:t>
      </w:r>
    </w:p>
    <w:p w14:paraId="00000031"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Predmetom zmluvy je dodávka elektrickej energie riadne a včas, v najvyššej možnej kvalite, pre odberné miesta odberateľa v súlade s touto zmluvou vrátane:</w:t>
      </w:r>
    </w:p>
    <w:p w14:paraId="00000032"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zabezpečenia dodávky elektrickej energie vrátane distribúcie elektrickej energie a prenosu v množstve a čase podľa potrieb odberateľa a podľa dohodnutej tarify, </w:t>
      </w:r>
    </w:p>
    <w:p w14:paraId="00000033"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prevzatia zodpovednosti za odchýlku za odberné miesta, </w:t>
      </w:r>
    </w:p>
    <w:p w14:paraId="00000034"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zabezpečenia pre odberateľa elektrickej energie ostatných distribučných služieb a ostatných služieb spojených s použitím sústavy od príslušného prevádzkovateľa distribučnej siete (ďalej len “PDS”), </w:t>
      </w:r>
    </w:p>
    <w:p w14:paraId="00000035"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nepožadovania aktivačného a deaktivačného poplatku za prebratie, resp. odovzdanie odberného miesta,</w:t>
      </w:r>
    </w:p>
    <w:p w14:paraId="00000036"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zabezpečenia cestou distribučnej spoločnosti bezodkladného riešenia odstránenia porúch spôsobujúcich obmedzenie dodávky elektrickej energie pre jednotlivé odberné miesta odberateľa, </w:t>
      </w:r>
    </w:p>
    <w:p w14:paraId="00000037"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garantovania dostupnosti osobného zástupcu dodávateľa pre operatívne riešenie technických problémov (meno a telefonický kontakt) v pracovné dni v čase od 8:00 do 16:00 hod.</w:t>
      </w:r>
    </w:p>
    <w:p w14:paraId="00000038"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zaradenie nových, prípadne vyradenie nepotrebných odberných miest podľa potreby odberateľa. </w:t>
      </w:r>
    </w:p>
    <w:p w14:paraId="0000003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prípadne ďalších súvisiacich služieb podľa možnosti dodávateľa.</w:t>
      </w:r>
    </w:p>
    <w:p w14:paraId="0000003A" w14:textId="48637DB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množstvo dodávky elektrickej energie je uvedené v Prílohe č. 1 tejto Zmluvy.</w:t>
      </w:r>
    </w:p>
    <w:p w14:paraId="0000003B" w14:textId="2BDA9F83"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sa zaväzuje zabezpečiť maximálne rezervované kapacity (MRK) a rezervované kapacity (RK) pre odberné miesta Odberateľa. Prekročenie MRK a RK sa bude riešiť v súlade s Prevádzkovým poriadkom PDS a platným cenovým rozhodnutím Úradu pre reguláciu sieťových odvetví (ďalej len „ÚRSO“).</w:t>
      </w:r>
    </w:p>
    <w:p w14:paraId="0000003C"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si vyhradzuje právo meniť počty odberných miest v závislosti od jeho reálnych potrieb alebo pri vzniku okolností, ktoré odberateľ nemohol pri podpise tejto zmluvy predvídať. K zmenám počtu odberných miest dôjde pri zriadení nových odberných miest, prevzatí odberných miest a pri zrušení alebo odovzdaní odberných miest formou oznámenia odberateľa doručeného dodávateľovi písomne v elektronickej forme (mailom), pričom na nové odberné miesta sa budú automaticky vzťahovať ustanovenia tejto Zmluvy. Zmeny počtu odberných miest v priebehu trvania zmluvy nemajú vplyv na Zmluvné množstvo dodávky elektrickej energie uvedené v Prílohe č. 1 tejto Zmluvy a zmluvné množstvá uvedené v bode 7 tohto článku Zmluvy</w:t>
      </w:r>
    </w:p>
    <w:p w14:paraId="0000003D"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Zoznam OM podľa Prílohy č. 1 je aktuálny k podpisu zmluvy. Formu a postup pri oznámení zmeny v zozname OM si dohodnú zmluvné strany bezodkladne po podpise zmluvy.</w:t>
      </w:r>
    </w:p>
    <w:p w14:paraId="0000003E"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Pre účely dodávky elektrickej energie sa elektrická energia považuje za odobratú prechodom cez meradlo spĺňajúce všetky platné technické normy a pravidlá. </w:t>
      </w:r>
    </w:p>
    <w:p w14:paraId="0000003F"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Pre zmluvné obdobie od (1.1.2025) do (31.12.2027) sa zmluvné strany dohodli na zmluvnom množstve (ZM), ktoré sa rovná súčtu zmluvného množstva dohodnutých pre príslušné OM uvedené v prílohe č. 1 tejto zmluvy, nasledovne: </w:t>
      </w:r>
    </w:p>
    <w:p w14:paraId="00000040" w14:textId="77777777" w:rsidR="00474B94" w:rsidRDefault="00474B94">
      <w:pPr>
        <w:pBdr>
          <w:top w:val="nil"/>
          <w:left w:val="nil"/>
          <w:bottom w:val="nil"/>
          <w:right w:val="nil"/>
          <w:between w:val="nil"/>
        </w:pBdr>
        <w:ind w:left="567"/>
        <w:jc w:val="both"/>
        <w:rPr>
          <w:rFonts w:ascii="Calibri" w:eastAsia="Calibri" w:hAnsi="Calibri" w:cs="Calibri"/>
          <w:sz w:val="22"/>
          <w:szCs w:val="22"/>
        </w:rPr>
      </w:pPr>
    </w:p>
    <w:tbl>
      <w:tblPr>
        <w:tblStyle w:val="a2"/>
        <w:tblW w:w="8467" w:type="dxa"/>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652"/>
        <w:gridCol w:w="1710"/>
        <w:gridCol w:w="3780"/>
      </w:tblGrid>
      <w:tr w:rsidR="00474B94" w14:paraId="07CF710A" w14:textId="77777777">
        <w:trPr>
          <w:trHeight w:val="548"/>
        </w:trPr>
        <w:tc>
          <w:tcPr>
            <w:tcW w:w="8467" w:type="dxa"/>
            <w:gridSpan w:val="4"/>
            <w:vAlign w:val="center"/>
          </w:tcPr>
          <w:p w14:paraId="00000041"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Zmluvné množstvo pre OM rok 2025:</w:t>
            </w:r>
          </w:p>
        </w:tc>
      </w:tr>
      <w:tr w:rsidR="00474B94" w14:paraId="57BB9C21" w14:textId="77777777">
        <w:trPr>
          <w:trHeight w:val="548"/>
        </w:trPr>
        <w:tc>
          <w:tcPr>
            <w:tcW w:w="1325" w:type="dxa"/>
            <w:vAlign w:val="center"/>
          </w:tcPr>
          <w:p w14:paraId="00000045"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1.1.2025</w:t>
            </w:r>
          </w:p>
        </w:tc>
        <w:tc>
          <w:tcPr>
            <w:tcW w:w="1652" w:type="dxa"/>
            <w:vAlign w:val="center"/>
          </w:tcPr>
          <w:p w14:paraId="00000046"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31.12.2025</w:t>
            </w:r>
          </w:p>
        </w:tc>
        <w:tc>
          <w:tcPr>
            <w:tcW w:w="1710" w:type="dxa"/>
            <w:vAlign w:val="center"/>
          </w:tcPr>
          <w:p w14:paraId="00000047" w14:textId="65273054"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 xml:space="preserve">ZM </w:t>
            </w:r>
            <w:r w:rsidR="008702BD" w:rsidRPr="00B13AC3">
              <w:rPr>
                <w:rFonts w:ascii="Calibri" w:eastAsia="Calibri" w:hAnsi="Calibri" w:cs="Calibri"/>
                <w:b/>
                <w:highlight w:val="yellow"/>
              </w:rPr>
              <w:t>13663</w:t>
            </w:r>
            <w:r w:rsidR="008702BD">
              <w:rPr>
                <w:rFonts w:ascii="Calibri" w:eastAsia="Calibri" w:hAnsi="Calibri" w:cs="Calibri"/>
                <w:b/>
              </w:rPr>
              <w:t xml:space="preserve"> </w:t>
            </w:r>
            <w:r>
              <w:rPr>
                <w:rFonts w:ascii="Calibri" w:eastAsia="Calibri" w:hAnsi="Calibri" w:cs="Calibri"/>
                <w:b/>
              </w:rPr>
              <w:t>MWh</w:t>
            </w:r>
          </w:p>
        </w:tc>
        <w:tc>
          <w:tcPr>
            <w:tcW w:w="3780" w:type="dxa"/>
          </w:tcPr>
          <w:p w14:paraId="00000048" w14:textId="77777777" w:rsidR="00474B94" w:rsidRDefault="00474B94">
            <w:pPr>
              <w:pBdr>
                <w:top w:val="nil"/>
                <w:left w:val="nil"/>
                <w:bottom w:val="nil"/>
                <w:right w:val="nil"/>
                <w:between w:val="nil"/>
              </w:pBdr>
              <w:jc w:val="both"/>
              <w:rPr>
                <w:rFonts w:ascii="Calibri" w:eastAsia="Calibri" w:hAnsi="Calibri" w:cs="Calibri"/>
                <w:b/>
              </w:rPr>
            </w:pPr>
          </w:p>
        </w:tc>
      </w:tr>
      <w:tr w:rsidR="00474B94" w14:paraId="53617368" w14:textId="77777777">
        <w:trPr>
          <w:trHeight w:val="548"/>
        </w:trPr>
        <w:tc>
          <w:tcPr>
            <w:tcW w:w="8467" w:type="dxa"/>
            <w:gridSpan w:val="4"/>
            <w:vAlign w:val="center"/>
          </w:tcPr>
          <w:p w14:paraId="00000049"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Zmluvné množstvo pre OM rok 2026:</w:t>
            </w:r>
          </w:p>
        </w:tc>
      </w:tr>
      <w:tr w:rsidR="00474B94" w14:paraId="5C953951" w14:textId="77777777">
        <w:trPr>
          <w:trHeight w:val="548"/>
        </w:trPr>
        <w:tc>
          <w:tcPr>
            <w:tcW w:w="1325" w:type="dxa"/>
          </w:tcPr>
          <w:p w14:paraId="0000004D" w14:textId="77777777" w:rsidR="00474B94" w:rsidRDefault="007952C8">
            <w:pPr>
              <w:pBdr>
                <w:top w:val="nil"/>
                <w:left w:val="nil"/>
                <w:bottom w:val="nil"/>
                <w:right w:val="nil"/>
                <w:between w:val="nil"/>
              </w:pBdr>
              <w:jc w:val="both"/>
              <w:rPr>
                <w:rFonts w:ascii="Calibri" w:eastAsia="Calibri" w:hAnsi="Calibri" w:cs="Calibri"/>
              </w:rPr>
            </w:pPr>
            <w:r>
              <w:rPr>
                <w:rFonts w:ascii="Calibri" w:eastAsia="Calibri" w:hAnsi="Calibri" w:cs="Calibri"/>
              </w:rPr>
              <w:t>1.1.2026</w:t>
            </w:r>
          </w:p>
          <w:p w14:paraId="0000004E" w14:textId="77777777" w:rsidR="00474B94" w:rsidRDefault="00474B94">
            <w:pPr>
              <w:pBdr>
                <w:top w:val="nil"/>
                <w:left w:val="nil"/>
                <w:bottom w:val="nil"/>
                <w:right w:val="nil"/>
                <w:between w:val="nil"/>
              </w:pBdr>
              <w:jc w:val="both"/>
              <w:rPr>
                <w:rFonts w:ascii="Calibri" w:eastAsia="Calibri" w:hAnsi="Calibri" w:cs="Calibri"/>
                <w:b/>
              </w:rPr>
            </w:pPr>
          </w:p>
        </w:tc>
        <w:tc>
          <w:tcPr>
            <w:tcW w:w="1652" w:type="dxa"/>
          </w:tcPr>
          <w:p w14:paraId="0000004F"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31.12.2026</w:t>
            </w:r>
          </w:p>
        </w:tc>
        <w:tc>
          <w:tcPr>
            <w:tcW w:w="1710" w:type="dxa"/>
          </w:tcPr>
          <w:p w14:paraId="00000050" w14:textId="2B75F5F0"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 xml:space="preserve">ZM </w:t>
            </w:r>
            <w:r w:rsidR="008702BD">
              <w:rPr>
                <w:rFonts w:ascii="Calibri" w:eastAsia="Calibri" w:hAnsi="Calibri" w:cs="Calibri"/>
                <w:b/>
              </w:rPr>
              <w:t xml:space="preserve">13663 </w:t>
            </w:r>
            <w:r>
              <w:rPr>
                <w:rFonts w:ascii="Calibri" w:eastAsia="Calibri" w:hAnsi="Calibri" w:cs="Calibri"/>
                <w:b/>
              </w:rPr>
              <w:t>MWh</w:t>
            </w:r>
          </w:p>
        </w:tc>
        <w:tc>
          <w:tcPr>
            <w:tcW w:w="3780" w:type="dxa"/>
          </w:tcPr>
          <w:p w14:paraId="00000051" w14:textId="77777777" w:rsidR="00474B94" w:rsidRDefault="00474B94">
            <w:pPr>
              <w:pBdr>
                <w:top w:val="nil"/>
                <w:left w:val="nil"/>
                <w:bottom w:val="nil"/>
                <w:right w:val="nil"/>
                <w:between w:val="nil"/>
              </w:pBdr>
              <w:jc w:val="both"/>
              <w:rPr>
                <w:rFonts w:ascii="Calibri" w:eastAsia="Calibri" w:hAnsi="Calibri" w:cs="Calibri"/>
                <w:b/>
                <w:sz w:val="20"/>
                <w:szCs w:val="20"/>
              </w:rPr>
            </w:pPr>
          </w:p>
        </w:tc>
      </w:tr>
    </w:tbl>
    <w:p w14:paraId="00000052" w14:textId="77777777" w:rsidR="00474B94" w:rsidRDefault="00474B94">
      <w:pPr>
        <w:widowControl w:val="0"/>
        <w:pBdr>
          <w:top w:val="nil"/>
          <w:left w:val="nil"/>
          <w:bottom w:val="nil"/>
          <w:right w:val="nil"/>
          <w:between w:val="nil"/>
        </w:pBdr>
        <w:spacing w:line="276" w:lineRule="auto"/>
        <w:rPr>
          <w:rFonts w:ascii="Calibri" w:eastAsia="Calibri" w:hAnsi="Calibri" w:cs="Calibri"/>
          <w:b/>
          <w:sz w:val="20"/>
          <w:szCs w:val="20"/>
        </w:rPr>
      </w:pPr>
    </w:p>
    <w:tbl>
      <w:tblPr>
        <w:tblStyle w:val="a3"/>
        <w:tblW w:w="8647"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47"/>
      </w:tblGrid>
      <w:tr w:rsidR="00474B94" w14:paraId="63C4BEC7" w14:textId="77777777" w:rsidTr="00BC48C3">
        <w:trPr>
          <w:trHeight w:val="548"/>
        </w:trPr>
        <w:tc>
          <w:tcPr>
            <w:tcW w:w="8647" w:type="dxa"/>
            <w:vAlign w:val="center"/>
          </w:tcPr>
          <w:p w14:paraId="00000053" w14:textId="77777777" w:rsidR="00474B94" w:rsidRDefault="007952C8">
            <w:pPr>
              <w:pBdr>
                <w:top w:val="nil"/>
                <w:left w:val="nil"/>
                <w:bottom w:val="nil"/>
                <w:right w:val="nil"/>
                <w:between w:val="nil"/>
              </w:pBdr>
              <w:jc w:val="both"/>
              <w:rPr>
                <w:rFonts w:ascii="Calibri" w:eastAsia="Calibri" w:hAnsi="Calibri" w:cs="Calibri"/>
                <w:b/>
                <w:sz w:val="22"/>
                <w:szCs w:val="22"/>
              </w:rPr>
            </w:pPr>
            <w:r>
              <w:rPr>
                <w:rFonts w:ascii="Calibri" w:eastAsia="Calibri" w:hAnsi="Calibri" w:cs="Calibri"/>
                <w:b/>
                <w:sz w:val="22"/>
                <w:szCs w:val="22"/>
              </w:rPr>
              <w:t>Zmluvné množstvo pre OM rok 2027:</w:t>
            </w:r>
          </w:p>
        </w:tc>
      </w:tr>
    </w:tbl>
    <w:tbl>
      <w:tblPr>
        <w:tblStyle w:val="a4"/>
        <w:tblW w:w="8644" w:type="dxa"/>
        <w:tblInd w:w="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2"/>
        <w:gridCol w:w="1652"/>
        <w:gridCol w:w="1710"/>
        <w:gridCol w:w="3780"/>
      </w:tblGrid>
      <w:tr w:rsidR="00474B94" w14:paraId="0DD7B6C8" w14:textId="77777777" w:rsidTr="00BC48C3">
        <w:trPr>
          <w:trHeight w:val="548"/>
        </w:trPr>
        <w:tc>
          <w:tcPr>
            <w:tcW w:w="1502" w:type="dxa"/>
            <w:vAlign w:val="center"/>
          </w:tcPr>
          <w:p w14:paraId="00000055" w14:textId="2FEF017D"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1.1.2027</w:t>
            </w:r>
          </w:p>
        </w:tc>
        <w:tc>
          <w:tcPr>
            <w:tcW w:w="1652" w:type="dxa"/>
            <w:vAlign w:val="center"/>
          </w:tcPr>
          <w:p w14:paraId="00000056"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31.12.2027</w:t>
            </w:r>
          </w:p>
        </w:tc>
        <w:tc>
          <w:tcPr>
            <w:tcW w:w="1710" w:type="dxa"/>
            <w:vAlign w:val="center"/>
          </w:tcPr>
          <w:p w14:paraId="00000057" w14:textId="6768AF7C"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 xml:space="preserve">ZM </w:t>
            </w:r>
            <w:r w:rsidR="008702BD">
              <w:rPr>
                <w:rFonts w:ascii="Calibri" w:eastAsia="Calibri" w:hAnsi="Calibri" w:cs="Calibri"/>
                <w:b/>
              </w:rPr>
              <w:t xml:space="preserve">13663 </w:t>
            </w:r>
            <w:r>
              <w:rPr>
                <w:rFonts w:ascii="Calibri" w:eastAsia="Calibri" w:hAnsi="Calibri" w:cs="Calibri"/>
                <w:b/>
              </w:rPr>
              <w:t>MWh</w:t>
            </w:r>
          </w:p>
        </w:tc>
        <w:tc>
          <w:tcPr>
            <w:tcW w:w="3780" w:type="dxa"/>
          </w:tcPr>
          <w:p w14:paraId="00000058" w14:textId="77777777" w:rsidR="00474B94" w:rsidRDefault="00474B94">
            <w:pPr>
              <w:pBdr>
                <w:top w:val="nil"/>
                <w:left w:val="nil"/>
                <w:bottom w:val="nil"/>
                <w:right w:val="nil"/>
                <w:between w:val="nil"/>
              </w:pBdr>
              <w:jc w:val="both"/>
              <w:rPr>
                <w:rFonts w:ascii="Calibri" w:eastAsia="Calibri" w:hAnsi="Calibri" w:cs="Calibri"/>
                <w:b/>
                <w:sz w:val="20"/>
                <w:szCs w:val="20"/>
              </w:rPr>
            </w:pPr>
          </w:p>
        </w:tc>
      </w:tr>
    </w:tbl>
    <w:p w14:paraId="00000059"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b/>
          <w:sz w:val="22"/>
          <w:szCs w:val="22"/>
        </w:rPr>
      </w:pPr>
    </w:p>
    <w:p w14:paraId="0000005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III.</w:t>
      </w:r>
    </w:p>
    <w:p w14:paraId="0000005B"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Doba plnenia</w:t>
      </w:r>
    </w:p>
    <w:p w14:paraId="0000005C" w14:textId="77777777" w:rsidR="00474B94" w:rsidRDefault="007952C8">
      <w:pPr>
        <w:numPr>
          <w:ilvl w:val="0"/>
          <w:numId w:val="23"/>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Doba plnenia je nepretržite od </w:t>
      </w:r>
      <w:r>
        <w:rPr>
          <w:rFonts w:ascii="Calibri" w:eastAsia="Calibri" w:hAnsi="Calibri" w:cs="Calibri"/>
          <w:b/>
          <w:sz w:val="22"/>
          <w:szCs w:val="22"/>
        </w:rPr>
        <w:t>1.1.2025</w:t>
      </w:r>
      <w:r>
        <w:rPr>
          <w:rFonts w:ascii="Calibri" w:eastAsia="Calibri" w:hAnsi="Calibri" w:cs="Calibri"/>
          <w:sz w:val="22"/>
          <w:szCs w:val="22"/>
        </w:rPr>
        <w:t xml:space="preserve"> 00:00 hod. do </w:t>
      </w:r>
      <w:r>
        <w:rPr>
          <w:rFonts w:ascii="Calibri" w:eastAsia="Calibri" w:hAnsi="Calibri" w:cs="Calibri"/>
          <w:b/>
          <w:sz w:val="22"/>
          <w:szCs w:val="22"/>
        </w:rPr>
        <w:t>31.12.2027</w:t>
      </w:r>
      <w:r>
        <w:rPr>
          <w:rFonts w:ascii="Calibri" w:eastAsia="Calibri" w:hAnsi="Calibri" w:cs="Calibri"/>
          <w:sz w:val="22"/>
          <w:szCs w:val="22"/>
        </w:rPr>
        <w:t xml:space="preserve"> 24:00 hod.</w:t>
      </w:r>
    </w:p>
    <w:p w14:paraId="0000005D"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05E"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0000005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IV.</w:t>
      </w:r>
    </w:p>
    <w:p w14:paraId="0000006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Podmienky dodávky elektrickej energie a zabezpečenie jej distribúcie</w:t>
      </w:r>
    </w:p>
    <w:p w14:paraId="00000061" w14:textId="77777777" w:rsidR="00474B94" w:rsidRDefault="007952C8">
      <w:pPr>
        <w:numPr>
          <w:ilvl w:val="0"/>
          <w:numId w:val="2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sa zaväzuje dodávať elektrickú energiu vrátane jej distribúcie, prenosu s prevzatím zodpovednosti za odchýlku do odberných miest odberateľa v množstve a čase podľa potrieb odberateľa a zabezpečiť u PDS pre odberné miesta distribučné služby. Distribučné služby sa uskutočňujú v súlade s platnými všeobecne záväznými právnymi predpismi a v kvalite podľa technických podmienok prístupu a pripojenia do sústavy PDS.</w:t>
      </w:r>
    </w:p>
    <w:p w14:paraId="00000062" w14:textId="77777777" w:rsidR="00474B94" w:rsidRDefault="007952C8">
      <w:pPr>
        <w:numPr>
          <w:ilvl w:val="0"/>
          <w:numId w:val="2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týmto udeľuje plnú moc dodávateľovi, aby za neho konal vo veciach zabezpečenia distribučnej kapacity pre OM, aby za neho v daných veciach vykonával úkony (vrátane písomných) a získal historické dáta o priebehu jeho odberu elektrickej energie.</w:t>
      </w:r>
    </w:p>
    <w:p w14:paraId="00000063" w14:textId="77777777" w:rsidR="00474B94" w:rsidRDefault="007952C8">
      <w:pPr>
        <w:numPr>
          <w:ilvl w:val="0"/>
          <w:numId w:val="2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ak odberateľ podstatne porušuje zmluvu aj po termíne uvedenom v predchádzajúcom písomnom upozornení, dodávateľ má právo požiadať PDS o prerušenie alebo obmedzenie distribúcie elektrickej energie.</w:t>
      </w:r>
    </w:p>
    <w:p w14:paraId="00000064"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0000006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V.</w:t>
      </w:r>
    </w:p>
    <w:p w14:paraId="00000066" w14:textId="7BAA9D73"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Cena za dodávku elektrickej energie</w:t>
      </w:r>
    </w:p>
    <w:p w14:paraId="00000067" w14:textId="1873F038"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Odberateľ je povinný zaplatiť dodávateľovi cenu za dodávku elektrickej energie a súvisiace plnenia pozostávajúcu z týchto položiek:</w:t>
      </w:r>
    </w:p>
    <w:p w14:paraId="00000068" w14:textId="3404D1A6"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cena za dodávku elektrickej energie a prevzatia zodpovednosti za odchýlku,</w:t>
      </w:r>
    </w:p>
    <w:p w14:paraId="00000069" w14:textId="2B28C180"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cena za prenos elektrickej energie,</w:t>
      </w:r>
    </w:p>
    <w:p w14:paraId="0000006A" w14:textId="404B5E53"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cena za distribúciu elektrickej energie a distribučné služby,</w:t>
      </w:r>
    </w:p>
    <w:p w14:paraId="0000006B" w14:textId="183643DE"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cena za systémové služby a prevádzkovanie systému,</w:t>
      </w:r>
    </w:p>
    <w:p w14:paraId="0000006C" w14:textId="3EAD2C1F"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odvod do Národného jadrového fondu,</w:t>
      </w:r>
    </w:p>
    <w:p w14:paraId="0000006D" w14:textId="0BDC9ABE"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spotrebná daň a daň z pridanej hodnoty (ďalej len „DPH“).</w:t>
      </w:r>
    </w:p>
    <w:p w14:paraId="0000006E" w14:textId="31D99FEC"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 xml:space="preserve">Cena za predmet zmluvy bola dohodnutá zmluvnými stranami na obdobie platnosti zmluvy v zmysle § 3 zákona NR SR č. 18/1996 Z. z. o cenách v znení neskorších predpisov. </w:t>
      </w:r>
    </w:p>
    <w:p w14:paraId="0000006F" w14:textId="2B1A9D92"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 xml:space="preserve">Cena za poskytnutie distribúcie elektriny a súvisiacich služieb, tarifa za systémové služby, tarifa za prevádzkovanie systému a ostatné poplatky, ÚRSO, sú určené podľa platných cenových rozhodnutí ÚRSO. V prípade ich zmeny alebo v prípade zavedenia nových poplatkov alebo nových daní príslušnými štátnymi orgánmi SR, ktoré sa týkajú plnenia podľa tejto Zmluvy, má Dodávateľ právo požadovať od Odberateľa ich zaplatenie a Odberateľ sa ich zaväzuje  Dodávateľovi zaplatiť.  </w:t>
      </w:r>
    </w:p>
    <w:p w14:paraId="00000070" w14:textId="798E9FF6"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Ceny sú uvedené pre jednotkové množstvo MWh, a to v €/MWh. K uvedeným cenám sa pripočítava spotrebná daň, DPH a ďalšie aplikovateľné dane vo výške podľa platných právnych predpisov. Dodávateľ má právo požadovať od Odberateľa aj zaplatenie zvýšených nákladov, ktoré budú mať vplyv na cenu a ktoré budú zavedené ÚRSO-m alebo rozhodnutiami štátnych orgánov SR, a ktoré Dodávateľ nebude môcť ovplyvniť (napr. cenové rozhodnutia týkajúce sa nákladov na odchýlku a pod.).</w:t>
      </w:r>
    </w:p>
    <w:p w14:paraId="00000072" w14:textId="62711095" w:rsidR="00474B94" w:rsidRPr="00A62B92" w:rsidRDefault="007952C8" w:rsidP="00A62B92">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Ceny elektriny (komodita) budú uvedené pre jednotkové množstvo MWh, a to €/MWh. Dodávateľ má právo požadovať od Odberateľa aj zaplatenie zvýšených nákladov, ktoré budú mať vplyv na cenu a ktoré budú zavedené ÚRSO-m alebo rozhodnutiami štátnych orgánov SR alebo všeobecne záväznými právnymi predpismi SR alebo legislatívnymi aktmi Európskej únie alebo ktoré vzniknú v dôsledku pripojenia sa prevádzkovateľa prenosovej sústavy k medzinárodným platformám pre výmenu regulačnej elektriny, a ktoré Dodávateľ nebude môcť ovplyvniť (napr. cenové rozhodnutia týkajúce sa nákladov na odchýlku, pripojenie SEPS k medzinárodnej platforme pre výmenu regulačnej elektriny MARI a PICASSO a pod.).</w:t>
      </w:r>
    </w:p>
    <w:p w14:paraId="00000073" w14:textId="077FA2BB"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Zmluvné strany sa dohodli, že dodávka elektriny a spôsob určenia ceny bude prebiehať spôsobom kombinujúcim nákup elektriny na forwardovom trhu a spotovom trhu.</w:t>
      </w:r>
    </w:p>
    <w:p w14:paraId="00000074" w14:textId="3CF12D58"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Dodávateľ zostaví na základe technických podkladov Odberateľa tzv. Iniciačný časový plán dodávky elektriny („Odberový diagram dodávky“), ktorý bude použitý na nákup elektriny pre každý kalendárny rok dodávky samostatne. Odberový diagram bude obsahovať hodnoty spotrieb elektriny s ich detailným rozdelením po jednotlivých hodinách daného kalendárneho roka.</w:t>
      </w:r>
    </w:p>
    <w:p w14:paraId="249A023C" w14:textId="362103D6" w:rsidR="007C20E6" w:rsidRPr="00B13AC3" w:rsidRDefault="007952C8" w:rsidP="00BC48C3">
      <w:pPr>
        <w:pStyle w:val="Odsekzoznamu"/>
        <w:numPr>
          <w:ilvl w:val="0"/>
          <w:numId w:val="10"/>
        </w:numPr>
        <w:ind w:left="567" w:hanging="567"/>
        <w:rPr>
          <w:rFonts w:ascii="Calibri" w:eastAsia="Calibri" w:hAnsi="Calibri" w:cs="Calibri"/>
          <w:sz w:val="22"/>
          <w:szCs w:val="22"/>
          <w:highlight w:val="yellow"/>
        </w:rPr>
      </w:pPr>
      <w:r>
        <w:rPr>
          <w:rFonts w:ascii="Calibri" w:eastAsia="Calibri" w:hAnsi="Calibri" w:cs="Calibri"/>
          <w:sz w:val="22"/>
          <w:szCs w:val="22"/>
        </w:rPr>
        <w:t>Odberateľ bude nakupovať elektrinu na forwardovom trhu (CAL-ročné tranže) s bilancovaním reziduálneho objemu nad rámec forwardového  nákupu za spotové ceny (nákup a odpredaj).</w:t>
      </w:r>
      <w:r w:rsidR="006314E9">
        <w:rPr>
          <w:rFonts w:ascii="Calibri" w:eastAsia="Calibri" w:hAnsi="Calibri" w:cs="Calibri"/>
          <w:sz w:val="22"/>
          <w:szCs w:val="22"/>
        </w:rPr>
        <w:t xml:space="preserve"> </w:t>
      </w:r>
      <w:r w:rsidR="006314E9" w:rsidRPr="00B13AC3">
        <w:rPr>
          <w:rFonts w:ascii="Calibri" w:eastAsia="Calibri" w:hAnsi="Calibri" w:cs="Calibri"/>
          <w:sz w:val="22"/>
          <w:szCs w:val="22"/>
          <w:highlight w:val="yellow"/>
        </w:rPr>
        <w:t xml:space="preserve">Odberateľ bude nakupovať elektrinu súhrnne pre subjekty StVPS, a.s. Banská Bystrica a PVPS, a.s. Poprad. </w:t>
      </w:r>
    </w:p>
    <w:p w14:paraId="00000077" w14:textId="47F99BD7" w:rsidR="00474B94" w:rsidRPr="00B13AC3" w:rsidRDefault="007952C8" w:rsidP="00BC48C3">
      <w:pPr>
        <w:pStyle w:val="Odsekzoznamu"/>
        <w:numPr>
          <w:ilvl w:val="0"/>
          <w:numId w:val="10"/>
        </w:numPr>
        <w:ind w:left="567" w:hanging="567"/>
        <w:rPr>
          <w:rFonts w:ascii="Calibri" w:eastAsia="Calibri" w:hAnsi="Calibri" w:cs="Calibri"/>
          <w:sz w:val="22"/>
          <w:szCs w:val="22"/>
          <w:highlight w:val="yellow"/>
        </w:rPr>
      </w:pPr>
      <w:r w:rsidRPr="00B13AC3">
        <w:rPr>
          <w:rFonts w:ascii="Calibri" w:eastAsia="Calibri" w:hAnsi="Calibri" w:cs="Calibri"/>
          <w:sz w:val="22"/>
          <w:szCs w:val="22"/>
          <w:highlight w:val="yellow"/>
        </w:rPr>
        <w:t>V prípade, že Odberateľ pre daný kalendárny rok dodávky nenakúpi elektrinu na forwardovom trhu (nezrealizuje žiadnu nákupnú CAL-ročnú tranžu), bude celá dodávka elektriny pre daný kalendárny rok realizovaná na spotovom trhu.</w:t>
      </w:r>
    </w:p>
    <w:p w14:paraId="00000078" w14:textId="3E8BED59" w:rsidR="00474B94" w:rsidRPr="004776FF"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u w:val="single"/>
        </w:rPr>
      </w:pPr>
      <w:r w:rsidRPr="004776FF">
        <w:rPr>
          <w:rFonts w:ascii="Calibri" w:eastAsia="Calibri" w:hAnsi="Calibri" w:cs="Calibri"/>
          <w:sz w:val="22"/>
          <w:szCs w:val="22"/>
          <w:u w:val="single"/>
        </w:rPr>
        <w:t>Nákup elektriny na forwardovom trhu:</w:t>
      </w:r>
    </w:p>
    <w:p w14:paraId="00000079" w14:textId="65B9FBF1" w:rsidR="00474B94" w:rsidRDefault="00474B94">
      <w:pPr>
        <w:rPr>
          <w:rFonts w:ascii="Calibri" w:eastAsia="Calibri" w:hAnsi="Calibri" w:cs="Calibri"/>
          <w:sz w:val="22"/>
          <w:szCs w:val="22"/>
        </w:rPr>
      </w:pPr>
    </w:p>
    <w:p w14:paraId="0000007A" w14:textId="5BADB5C2" w:rsidR="00474B94" w:rsidRDefault="007952C8">
      <w:pPr>
        <w:jc w:val="both"/>
        <w:rPr>
          <w:rFonts w:ascii="Calibri" w:eastAsia="Calibri" w:hAnsi="Calibri" w:cs="Calibri"/>
          <w:sz w:val="22"/>
          <w:szCs w:val="22"/>
        </w:rPr>
      </w:pPr>
      <w:r>
        <w:rPr>
          <w:rFonts w:ascii="Calibri" w:eastAsia="Calibri" w:hAnsi="Calibri" w:cs="Calibri"/>
          <w:sz w:val="22"/>
          <w:szCs w:val="22"/>
        </w:rPr>
        <w:t xml:space="preserve">Odberateľ bude nakupovať časti odberového diagramu nákupom na forwardovom trhu na obdobie daného kalendárneho roka s referenciou na aktuálne ceny elektriny na burze PXE podľa vopred dohodnutého ročného odberového diagramu. Cena za nákup tranže sa stanoví podľa nasledovného vzorca: </w:t>
      </w:r>
    </w:p>
    <w:p w14:paraId="0000007B" w14:textId="77777777" w:rsidR="00474B94" w:rsidRDefault="00474B94">
      <w:pPr>
        <w:pBdr>
          <w:top w:val="nil"/>
          <w:left w:val="nil"/>
          <w:bottom w:val="nil"/>
          <w:right w:val="nil"/>
          <w:between w:val="nil"/>
        </w:pBdr>
        <w:ind w:left="425" w:hanging="482"/>
        <w:jc w:val="both"/>
        <w:rPr>
          <w:rFonts w:ascii="Calibri" w:eastAsia="Calibri" w:hAnsi="Calibri" w:cs="Calibri"/>
          <w:sz w:val="22"/>
          <w:szCs w:val="22"/>
        </w:rPr>
      </w:pPr>
    </w:p>
    <w:tbl>
      <w:tblPr>
        <w:tblStyle w:val="a5"/>
        <w:tblW w:w="6378" w:type="dxa"/>
        <w:tblInd w:w="184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3118"/>
        <w:gridCol w:w="3260"/>
      </w:tblGrid>
      <w:tr w:rsidR="00474B94" w14:paraId="76274893" w14:textId="77777777">
        <w:trPr>
          <w:trHeight w:val="357"/>
        </w:trPr>
        <w:tc>
          <w:tcPr>
            <w:tcW w:w="3118"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7C" w14:textId="73301078"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Typ transakcie</w:t>
            </w:r>
          </w:p>
        </w:tc>
        <w:tc>
          <w:tcPr>
            <w:tcW w:w="3260"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7D" w14:textId="15016FF0"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Vzorec</w:t>
            </w:r>
          </w:p>
        </w:tc>
      </w:tr>
      <w:tr w:rsidR="00474B94" w14:paraId="09B5442E" w14:textId="77777777">
        <w:trPr>
          <w:trHeight w:val="351"/>
        </w:trPr>
        <w:tc>
          <w:tcPr>
            <w:tcW w:w="3118" w:type="dxa"/>
            <w:tcBorders>
              <w:top w:val="single" w:sz="4" w:space="0" w:color="FFFFFF"/>
              <w:left w:val="single" w:sz="4" w:space="0" w:color="FFFFFF"/>
              <w:bottom w:val="single" w:sz="4" w:space="0" w:color="FFFFFF"/>
              <w:right w:val="single" w:sz="4" w:space="0" w:color="FFFFFF"/>
            </w:tcBorders>
            <w:shd w:val="clear" w:color="auto" w:fill="009FE3"/>
            <w:vAlign w:val="center"/>
          </w:tcPr>
          <w:p w14:paraId="0000007E" w14:textId="1F02EC7C" w:rsidR="00474B94" w:rsidRDefault="007952C8">
            <w:pPr>
              <w:jc w:val="center"/>
              <w:rPr>
                <w:rFonts w:ascii="Calibri" w:eastAsia="Calibri" w:hAnsi="Calibri" w:cs="Calibri"/>
                <w:color w:val="FFFFFF"/>
                <w:sz w:val="22"/>
                <w:szCs w:val="22"/>
              </w:rPr>
            </w:pPr>
            <w:r>
              <w:rPr>
                <w:rFonts w:ascii="Calibri" w:eastAsia="Calibri" w:hAnsi="Calibri" w:cs="Calibri"/>
                <w:color w:val="FFFFFF"/>
                <w:sz w:val="22"/>
                <w:szCs w:val="22"/>
              </w:rPr>
              <w:t xml:space="preserve">Forwardový nákup </w:t>
            </w:r>
          </w:p>
        </w:tc>
        <w:tc>
          <w:tcPr>
            <w:tcW w:w="3260"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7F" w14:textId="08A0E1CB"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cena</w:t>
            </w:r>
            <w:r>
              <w:rPr>
                <w:rFonts w:ascii="Calibri" w:eastAsia="Calibri" w:hAnsi="Calibri" w:cs="Calibri"/>
                <w:sz w:val="22"/>
                <w:szCs w:val="22"/>
                <w:vertAlign w:val="subscript"/>
              </w:rPr>
              <w:t>F</w:t>
            </w:r>
            <w:r>
              <w:rPr>
                <w:rFonts w:ascii="Calibri" w:eastAsia="Calibri" w:hAnsi="Calibri" w:cs="Calibri"/>
                <w:sz w:val="22"/>
                <w:szCs w:val="22"/>
              </w:rPr>
              <w:t xml:space="preserve"> = PXE + Aditív €/MWh</w:t>
            </w:r>
          </w:p>
        </w:tc>
      </w:tr>
    </w:tbl>
    <w:p w14:paraId="00000080" w14:textId="45757E1F" w:rsidR="00474B94" w:rsidRDefault="00474B94">
      <w:pPr>
        <w:pBdr>
          <w:top w:val="nil"/>
          <w:left w:val="nil"/>
          <w:bottom w:val="nil"/>
          <w:right w:val="nil"/>
          <w:between w:val="nil"/>
        </w:pBdr>
        <w:ind w:left="482" w:hanging="482"/>
        <w:jc w:val="both"/>
        <w:rPr>
          <w:rFonts w:ascii="Calibri" w:eastAsia="Calibri" w:hAnsi="Calibri" w:cs="Calibri"/>
          <w:sz w:val="22"/>
          <w:szCs w:val="22"/>
        </w:rPr>
      </w:pPr>
    </w:p>
    <w:p w14:paraId="00000081" w14:textId="5410C3F0" w:rsidR="00474B94" w:rsidRDefault="007952C8">
      <w:pPr>
        <w:pBdr>
          <w:top w:val="nil"/>
          <w:left w:val="nil"/>
          <w:bottom w:val="nil"/>
          <w:right w:val="nil"/>
          <w:between w:val="nil"/>
        </w:pBdr>
        <w:ind w:left="482" w:hanging="482"/>
        <w:jc w:val="both"/>
        <w:rPr>
          <w:rFonts w:ascii="Calibri" w:eastAsia="Calibri" w:hAnsi="Calibri" w:cs="Calibri"/>
          <w:sz w:val="22"/>
          <w:szCs w:val="22"/>
        </w:rPr>
      </w:pPr>
      <w:r>
        <w:rPr>
          <w:rFonts w:ascii="Calibri" w:eastAsia="Calibri" w:hAnsi="Calibri" w:cs="Calibri"/>
          <w:sz w:val="22"/>
          <w:szCs w:val="22"/>
        </w:rPr>
        <w:t>kde:</w:t>
      </w:r>
    </w:p>
    <w:p w14:paraId="00000082" w14:textId="0C1A2A6F" w:rsidR="00474B94" w:rsidRDefault="00474B94">
      <w:pPr>
        <w:pBdr>
          <w:top w:val="nil"/>
          <w:left w:val="nil"/>
          <w:bottom w:val="nil"/>
          <w:right w:val="nil"/>
          <w:between w:val="nil"/>
        </w:pBdr>
        <w:ind w:left="482" w:hanging="482"/>
        <w:jc w:val="both"/>
        <w:rPr>
          <w:rFonts w:ascii="Calibri" w:eastAsia="Calibri" w:hAnsi="Calibri" w:cs="Calibri"/>
          <w:sz w:val="22"/>
          <w:szCs w:val="22"/>
        </w:rPr>
      </w:pPr>
    </w:p>
    <w:p w14:paraId="00000083" w14:textId="785AB7EA"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PXE je F PXE SK BL CAL-25, 26, 27 live cena,</w:t>
      </w:r>
    </w:p>
    <w:p w14:paraId="00000084" w14:textId="7C04D4BB"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predmetom nákupu môžu byť iba obdobia v danom čase ponúkané a likvidné na PXE,</w:t>
      </w:r>
    </w:p>
    <w:p w14:paraId="00000085" w14:textId="0B18CBBA"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v prípade, že neexistuje ponuka na nákup elektriny na PXE, môžu zmluvné strany po dohode využiť ako referenciu aj inú platformu (napr. TFS, ICAP a iné).</w:t>
      </w:r>
    </w:p>
    <w:p w14:paraId="00000086" w14:textId="549E89EE" w:rsidR="00474B94" w:rsidRDefault="00474B94">
      <w:pPr>
        <w:pBdr>
          <w:top w:val="nil"/>
          <w:left w:val="nil"/>
          <w:bottom w:val="nil"/>
          <w:right w:val="nil"/>
          <w:between w:val="nil"/>
        </w:pBdr>
        <w:ind w:left="1202" w:hanging="482"/>
        <w:jc w:val="both"/>
        <w:rPr>
          <w:rFonts w:ascii="Calibri" w:eastAsia="Calibri" w:hAnsi="Calibri" w:cs="Calibri"/>
          <w:sz w:val="22"/>
          <w:szCs w:val="22"/>
        </w:rPr>
      </w:pPr>
    </w:p>
    <w:p w14:paraId="00000087" w14:textId="456C24E7" w:rsidR="00474B94" w:rsidRDefault="00474B94">
      <w:pPr>
        <w:rPr>
          <w:rFonts w:ascii="Calibri" w:eastAsia="Calibri" w:hAnsi="Calibri" w:cs="Calibri"/>
          <w:sz w:val="22"/>
          <w:szCs w:val="22"/>
        </w:rPr>
      </w:pPr>
    </w:p>
    <w:p w14:paraId="00000088" w14:textId="355CE15F" w:rsidR="00474B94" w:rsidRDefault="007952C8">
      <w:pPr>
        <w:pBdr>
          <w:top w:val="nil"/>
          <w:left w:val="nil"/>
          <w:bottom w:val="nil"/>
          <w:right w:val="nil"/>
          <w:between w:val="nil"/>
        </w:pBdr>
        <w:ind w:left="482" w:hanging="482"/>
        <w:jc w:val="both"/>
        <w:rPr>
          <w:rFonts w:ascii="Calibri" w:eastAsia="Calibri" w:hAnsi="Calibri" w:cs="Calibri"/>
          <w:sz w:val="22"/>
          <w:szCs w:val="22"/>
          <w:u w:val="single"/>
        </w:rPr>
      </w:pPr>
      <w:r>
        <w:rPr>
          <w:rFonts w:ascii="Calibri" w:eastAsia="Calibri" w:hAnsi="Calibri" w:cs="Calibri"/>
          <w:sz w:val="22"/>
          <w:szCs w:val="22"/>
          <w:u w:val="single"/>
        </w:rPr>
        <w:t>Pravidlá pre nákup forwardových tranží:</w:t>
      </w:r>
    </w:p>
    <w:p w14:paraId="00000089" w14:textId="51FD674A" w:rsidR="00474B94" w:rsidRDefault="00474B94">
      <w:pPr>
        <w:pBdr>
          <w:top w:val="nil"/>
          <w:left w:val="nil"/>
          <w:bottom w:val="nil"/>
          <w:right w:val="nil"/>
          <w:between w:val="nil"/>
        </w:pBdr>
        <w:ind w:left="1224" w:hanging="482"/>
        <w:jc w:val="both"/>
        <w:rPr>
          <w:rFonts w:ascii="Calibri" w:eastAsia="Calibri" w:hAnsi="Calibri" w:cs="Calibri"/>
          <w:b/>
          <w:sz w:val="22"/>
          <w:szCs w:val="22"/>
          <w:u w:val="single"/>
        </w:rPr>
      </w:pPr>
    </w:p>
    <w:p w14:paraId="0000008A" w14:textId="5D7F1376"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Odberateľ môže realizovať nákup tranží po podpise Zmluvy a Cenovej ponuky, a po vzájomnom odsúhlasení Odberového diagramu dodávky elektriny pre daný kalendárny rok</w:t>
      </w:r>
    </w:p>
    <w:p w14:paraId="0000008B" w14:textId="309543FE"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Odberateľ môže realizovať max. 5 ročných  tranží, pričom minimálny objem ročnej tranže je 8 760 MWh, okrem poslednej tranže</w:t>
      </w:r>
    </w:p>
    <w:p w14:paraId="0000008C" w14:textId="700EA553"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Ročná tranža musí byť zrealizovaná najneskôr do 14.12. pred začiatkom dodávky príslušného obdobia,</w:t>
      </w:r>
    </w:p>
    <w:p w14:paraId="0000008D" w14:textId="09581671"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Nákup ročných tranží podľa „live“ ceny  bude iniciovať Odberateľ, a to formou požiadavky o cenovú ponuku zaslanej na vopred dohodnutnú e-mailovú adresu (e-mailové adresy) dodávateľa, v pracovné dni v čase od 10:00 do 14:30. Požiadavka musí obsahovať identifikáciu Odberateľa (IČO, názov), určenie obdobia dodávky (rok), objem dodávky (MWh). Dodávateľ poskytne Odberateľovi cenovú ponuku za produkt základné pásmo na príslušné obdobie, pričom cena vychádza z aktuálnej ponúkanej ceny príslušného produktu (položka Predaj – najlepšia cena) na obchodnej platforme PXE poprípade na iných obchodných platformách. Platnosť cenovej ponuky je 5 - 15 minút, platnosť ponuky môže byť aj iná, ak sa na tom dohodnú obe strany, </w:t>
      </w:r>
    </w:p>
    <w:p w14:paraId="0000008E" w14:textId="743BCED5"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V prípade, že Odberateľ akceptuje cenovú ponuku, nákup tranže potvrdí Odberateľ formou e-mailu zaslaného na dohodnutú mailovú adresu.</w:t>
      </w:r>
    </w:p>
    <w:p w14:paraId="0000008F" w14:textId="6C660910"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Dodávateľ môže tranžu jednostranne odmietnuť v prípade, že existujú objektívne príčiny, pre ktoré nemôže požadovanú tranžu uskutočniť – v takomto prípade je Dodávateľ povinný Odberateľa informovať o nemožnosti uskutočniť tranžu a zdôvodniť svoje konanie (napr. nedostatok likvidity na veľkoobchodnom trhu, nedosiahnutie minimálneho obchodovateľného množstva a podobne). Zrušenie tranže vykoná Dodávateľ písomne, pričom zmluvné strany sa dohodli, že zrušenie tranže môže byť doručené aj na e-mail Odberateľa,</w:t>
      </w:r>
    </w:p>
    <w:p w14:paraId="00000090" w14:textId="02878DF5"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V prípade úspešnej realizácie tranže Dodávateľ vystaví doklad Konfirmácia/Záväzná objednávka na potvrdenie Odberateľovi.</w:t>
      </w:r>
    </w:p>
    <w:p w14:paraId="00000092" w14:textId="6689CA97" w:rsidR="00474B94" w:rsidRDefault="007952C8" w:rsidP="00A62B92">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Po realizácii poslednej tranže Dodávateľ vykoná výpočet celkovej forwardovej  ceny ako vážený aritmetický priemer cien a spotrieb jednotlivých tranží. Dodávateľ následne stanoví odberový diagram forwardového nákupu, na základe ročného odberového diagramu a objemu forwardového nákupu na príslušný rok dodávky.</w:t>
      </w:r>
    </w:p>
    <w:p w14:paraId="4F2DE982" w14:textId="77777777" w:rsidR="00A62B92" w:rsidRPr="00A62B92" w:rsidRDefault="00A62B92" w:rsidP="00A62B92">
      <w:pPr>
        <w:pBdr>
          <w:top w:val="nil"/>
          <w:left w:val="nil"/>
          <w:bottom w:val="nil"/>
          <w:right w:val="nil"/>
          <w:between w:val="nil"/>
        </w:pBdr>
        <w:ind w:left="1202"/>
        <w:jc w:val="both"/>
        <w:rPr>
          <w:rFonts w:ascii="Calibri" w:eastAsia="Calibri" w:hAnsi="Calibri" w:cs="Calibri"/>
          <w:sz w:val="22"/>
          <w:szCs w:val="22"/>
        </w:rPr>
      </w:pPr>
    </w:p>
    <w:p w14:paraId="00000093" w14:textId="573B2307"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u w:val="single"/>
        </w:rPr>
      </w:pPr>
      <w:r>
        <w:rPr>
          <w:rFonts w:ascii="Calibri" w:eastAsia="Calibri" w:hAnsi="Calibri" w:cs="Calibri"/>
          <w:sz w:val="22"/>
          <w:szCs w:val="22"/>
          <w:u w:val="single"/>
        </w:rPr>
        <w:t>Bilancovanie dodávky elektriny na SPOTOVOM trhu</w:t>
      </w:r>
    </w:p>
    <w:p w14:paraId="00000094" w14:textId="2F63F439" w:rsidR="00474B94" w:rsidRDefault="00A62B92">
      <w:pPr>
        <w:pBdr>
          <w:top w:val="nil"/>
          <w:left w:val="nil"/>
          <w:bottom w:val="nil"/>
          <w:right w:val="nil"/>
          <w:between w:val="nil"/>
        </w:pBdr>
        <w:ind w:left="482" w:hanging="482"/>
        <w:rPr>
          <w:rFonts w:ascii="Calibri" w:eastAsia="Calibri" w:hAnsi="Calibri" w:cs="Calibri"/>
          <w:sz w:val="22"/>
          <w:szCs w:val="22"/>
        </w:rPr>
      </w:pPr>
      <w:r>
        <w:rPr>
          <w:rFonts w:ascii="Calibri" w:eastAsia="Calibri" w:hAnsi="Calibri" w:cs="Calibri"/>
          <w:sz w:val="22"/>
          <w:szCs w:val="22"/>
        </w:rPr>
        <w:t xml:space="preserve">   </w:t>
      </w:r>
    </w:p>
    <w:p w14:paraId="0CC72547" w14:textId="435A7234" w:rsidR="00A62B92" w:rsidRDefault="007952C8" w:rsidP="00A62B92">
      <w:pPr>
        <w:pStyle w:val="Odsekzoznamu"/>
        <w:numPr>
          <w:ilvl w:val="0"/>
          <w:numId w:val="34"/>
        </w:numPr>
        <w:pBdr>
          <w:top w:val="nil"/>
          <w:left w:val="nil"/>
          <w:bottom w:val="nil"/>
          <w:right w:val="nil"/>
          <w:between w:val="nil"/>
        </w:pBdr>
        <w:jc w:val="both"/>
        <w:rPr>
          <w:rFonts w:ascii="Calibri" w:eastAsia="Calibri" w:hAnsi="Calibri" w:cs="Calibri"/>
          <w:sz w:val="22"/>
          <w:szCs w:val="22"/>
        </w:rPr>
      </w:pPr>
      <w:r w:rsidRPr="00A62B92">
        <w:rPr>
          <w:rFonts w:ascii="Calibri" w:eastAsia="Calibri" w:hAnsi="Calibri" w:cs="Calibri"/>
          <w:sz w:val="22"/>
          <w:szCs w:val="22"/>
        </w:rPr>
        <w:t xml:space="preserve">Predmetom spotového bilancovania je nákup a predaj elektriny na hodinovej báze vo výške rozdielu medzi skutočným odberom elektriny v danej hodine a  odberovým diagramom forwardového </w:t>
      </w:r>
      <w:r w:rsidR="00A62B92">
        <w:rPr>
          <w:rFonts w:ascii="Calibri" w:eastAsia="Calibri" w:hAnsi="Calibri" w:cs="Calibri"/>
          <w:sz w:val="22"/>
          <w:szCs w:val="22"/>
        </w:rPr>
        <w:t>nákupu („FWD Odberový diagram“)</w:t>
      </w:r>
    </w:p>
    <w:p w14:paraId="4DB2DE24" w14:textId="77777777" w:rsidR="00A62B92" w:rsidRDefault="007952C8" w:rsidP="00A62B92">
      <w:pPr>
        <w:pStyle w:val="Odsekzoznamu"/>
        <w:numPr>
          <w:ilvl w:val="0"/>
          <w:numId w:val="34"/>
        </w:numPr>
        <w:pBdr>
          <w:top w:val="nil"/>
          <w:left w:val="nil"/>
          <w:bottom w:val="nil"/>
          <w:right w:val="nil"/>
          <w:between w:val="nil"/>
        </w:pBdr>
        <w:jc w:val="both"/>
        <w:rPr>
          <w:rFonts w:ascii="Calibri" w:eastAsia="Calibri" w:hAnsi="Calibri" w:cs="Calibri"/>
          <w:sz w:val="22"/>
          <w:szCs w:val="22"/>
        </w:rPr>
      </w:pPr>
      <w:r w:rsidRPr="00A62B92">
        <w:rPr>
          <w:rFonts w:ascii="Calibri" w:eastAsia="Calibri" w:hAnsi="Calibri" w:cs="Calibri"/>
          <w:sz w:val="22"/>
          <w:szCs w:val="22"/>
        </w:rPr>
        <w:t>Referenciou pre spotovú cenu je oficiálny krátkodobý trh na Slovensku, ktorý organizuje  OKTE, a.s. (cena ISOT).</w:t>
      </w:r>
    </w:p>
    <w:p w14:paraId="00000097" w14:textId="6200F4CD" w:rsidR="00474B94" w:rsidRPr="00A62B92" w:rsidRDefault="007952C8" w:rsidP="00A62B92">
      <w:pPr>
        <w:pStyle w:val="Odsekzoznamu"/>
        <w:numPr>
          <w:ilvl w:val="0"/>
          <w:numId w:val="34"/>
        </w:numPr>
        <w:pBdr>
          <w:top w:val="nil"/>
          <w:left w:val="nil"/>
          <w:bottom w:val="nil"/>
          <w:right w:val="nil"/>
          <w:between w:val="nil"/>
        </w:pBdr>
        <w:jc w:val="both"/>
        <w:rPr>
          <w:rFonts w:ascii="Calibri" w:eastAsia="Calibri" w:hAnsi="Calibri" w:cs="Calibri"/>
          <w:sz w:val="22"/>
          <w:szCs w:val="22"/>
        </w:rPr>
      </w:pPr>
      <w:r w:rsidRPr="00A62B92">
        <w:rPr>
          <w:rFonts w:ascii="Calibri" w:eastAsia="Calibri" w:hAnsi="Calibri" w:cs="Calibri"/>
          <w:sz w:val="22"/>
          <w:szCs w:val="22"/>
        </w:rPr>
        <w:t xml:space="preserve">Hodnoty objemov a ceny za spotové bilancovanie v príslušnej hodine budú stanovené podľa nasledovného vzorca: </w:t>
      </w:r>
    </w:p>
    <w:p w14:paraId="00000098" w14:textId="77777777" w:rsidR="00474B94" w:rsidRDefault="00474B94">
      <w:pPr>
        <w:pBdr>
          <w:top w:val="nil"/>
          <w:left w:val="nil"/>
          <w:bottom w:val="nil"/>
          <w:right w:val="nil"/>
          <w:between w:val="nil"/>
        </w:pBdr>
        <w:ind w:left="482" w:hanging="57"/>
        <w:jc w:val="both"/>
        <w:rPr>
          <w:rFonts w:ascii="Calibri" w:eastAsia="Calibri" w:hAnsi="Calibri" w:cs="Calibri"/>
          <w:sz w:val="22"/>
          <w:szCs w:val="22"/>
        </w:rPr>
      </w:pPr>
    </w:p>
    <w:tbl>
      <w:tblPr>
        <w:tblStyle w:val="a6"/>
        <w:tblpPr w:leftFromText="141" w:rightFromText="141" w:vertAnchor="text" w:tblpY="89"/>
        <w:tblW w:w="9918" w:type="dxa"/>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2263"/>
        <w:gridCol w:w="3122"/>
        <w:gridCol w:w="2125"/>
        <w:gridCol w:w="2408"/>
      </w:tblGrid>
      <w:tr w:rsidR="00474B94" w14:paraId="00047502" w14:textId="77777777">
        <w:trPr>
          <w:trHeight w:val="567"/>
        </w:trPr>
        <w:tc>
          <w:tcPr>
            <w:tcW w:w="2263"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99" w14:textId="7887E089"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Typ transakcie</w:t>
            </w:r>
          </w:p>
        </w:tc>
        <w:tc>
          <w:tcPr>
            <w:tcW w:w="3122"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9A" w14:textId="615FC5F4"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Vyhodnotenie</w:t>
            </w:r>
          </w:p>
        </w:tc>
        <w:tc>
          <w:tcPr>
            <w:tcW w:w="2125"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9B" w14:textId="26C9DAFE"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Množstvo MWh</w:t>
            </w:r>
          </w:p>
        </w:tc>
        <w:tc>
          <w:tcPr>
            <w:tcW w:w="2408"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9C" w14:textId="4620EF44"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Spotová cena €/MWh</w:t>
            </w:r>
          </w:p>
        </w:tc>
      </w:tr>
      <w:tr w:rsidR="00474B94" w14:paraId="00554D43" w14:textId="77777777">
        <w:trPr>
          <w:trHeight w:val="486"/>
        </w:trPr>
        <w:tc>
          <w:tcPr>
            <w:tcW w:w="2263" w:type="dxa"/>
            <w:vMerge w:val="restart"/>
            <w:tcBorders>
              <w:top w:val="single" w:sz="4" w:space="0" w:color="FFFFFF"/>
              <w:left w:val="single" w:sz="4" w:space="0" w:color="FFFFFF"/>
              <w:right w:val="single" w:sz="4" w:space="0" w:color="FFFFFF"/>
            </w:tcBorders>
            <w:shd w:val="clear" w:color="auto" w:fill="009FE3"/>
            <w:vAlign w:val="center"/>
          </w:tcPr>
          <w:p w14:paraId="0000009D" w14:textId="5D056B39" w:rsidR="00474B94" w:rsidRDefault="007952C8">
            <w:pPr>
              <w:jc w:val="center"/>
              <w:rPr>
                <w:rFonts w:ascii="Calibri" w:eastAsia="Calibri" w:hAnsi="Calibri" w:cs="Calibri"/>
                <w:color w:val="FFFFFF"/>
                <w:sz w:val="22"/>
                <w:szCs w:val="22"/>
              </w:rPr>
            </w:pPr>
            <w:r>
              <w:rPr>
                <w:rFonts w:ascii="Calibri" w:eastAsia="Calibri" w:hAnsi="Calibri" w:cs="Calibri"/>
                <w:color w:val="FFFFFF"/>
                <w:sz w:val="22"/>
                <w:szCs w:val="22"/>
              </w:rPr>
              <w:t xml:space="preserve">Spotový nákup </w:t>
            </w:r>
          </w:p>
        </w:tc>
        <w:tc>
          <w:tcPr>
            <w:tcW w:w="3122" w:type="dxa"/>
            <w:tcBorders>
              <w:top w:val="single" w:sz="4" w:space="0" w:color="FFFFFF"/>
              <w:left w:val="single" w:sz="4" w:space="0" w:color="FFFFFF"/>
              <w:bottom w:val="single" w:sz="4" w:space="0" w:color="FFFFFF"/>
              <w:right w:val="single" w:sz="4" w:space="0" w:color="FFFFFF"/>
            </w:tcBorders>
            <w:shd w:val="clear" w:color="auto" w:fill="E3E3E3"/>
          </w:tcPr>
          <w:p w14:paraId="0000009E" w14:textId="171C72E7"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Ak objem odberu elektriny v hodine je vyšší ako hodnota FWD diagramu</w:t>
            </w:r>
          </w:p>
        </w:tc>
        <w:tc>
          <w:tcPr>
            <w:tcW w:w="2125"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9F" w14:textId="01F5A5F2"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 xml:space="preserve"> Q</w:t>
            </w:r>
            <w:r>
              <w:rPr>
                <w:rFonts w:ascii="Calibri" w:eastAsia="Calibri" w:hAnsi="Calibri" w:cs="Calibri"/>
                <w:sz w:val="22"/>
                <w:szCs w:val="22"/>
                <w:vertAlign w:val="subscript"/>
              </w:rPr>
              <w:t>SN</w:t>
            </w:r>
            <w:r>
              <w:rPr>
                <w:rFonts w:ascii="Calibri" w:eastAsia="Calibri" w:hAnsi="Calibri" w:cs="Calibri"/>
                <w:sz w:val="22"/>
                <w:szCs w:val="22"/>
              </w:rPr>
              <w:t xml:space="preserve"> v danej hodine je  </w:t>
            </w:r>
          </w:p>
          <w:p w14:paraId="000000A0" w14:textId="05F8AA25"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R</w:t>
            </w:r>
            <w:r>
              <w:rPr>
                <w:rFonts w:ascii="Calibri" w:eastAsia="Calibri" w:hAnsi="Calibri" w:cs="Calibri"/>
                <w:sz w:val="22"/>
                <w:szCs w:val="22"/>
              </w:rPr>
              <w:t xml:space="preserve"> – Q</w:t>
            </w:r>
            <w:r>
              <w:rPr>
                <w:rFonts w:ascii="Calibri" w:eastAsia="Calibri" w:hAnsi="Calibri" w:cs="Calibri"/>
                <w:sz w:val="22"/>
                <w:szCs w:val="22"/>
                <w:vertAlign w:val="subscript"/>
              </w:rPr>
              <w:t>FW</w:t>
            </w:r>
            <w:r>
              <w:rPr>
                <w:rFonts w:ascii="Calibri" w:eastAsia="Calibri" w:hAnsi="Calibri" w:cs="Calibri"/>
                <w:sz w:val="22"/>
                <w:szCs w:val="22"/>
              </w:rPr>
              <w:t>)</w:t>
            </w:r>
          </w:p>
        </w:tc>
        <w:tc>
          <w:tcPr>
            <w:tcW w:w="2408"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A1" w14:textId="128A41A7"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ISOT + Aditív (€/MWh)</w:t>
            </w:r>
          </w:p>
        </w:tc>
      </w:tr>
      <w:tr w:rsidR="00474B94" w14:paraId="2732A00B" w14:textId="77777777">
        <w:trPr>
          <w:trHeight w:val="565"/>
        </w:trPr>
        <w:tc>
          <w:tcPr>
            <w:tcW w:w="2263" w:type="dxa"/>
            <w:vMerge/>
            <w:tcBorders>
              <w:top w:val="single" w:sz="4" w:space="0" w:color="FFFFFF"/>
              <w:left w:val="single" w:sz="4" w:space="0" w:color="FFFFFF"/>
              <w:right w:val="single" w:sz="4" w:space="0" w:color="FFFFFF"/>
            </w:tcBorders>
            <w:shd w:val="clear" w:color="auto" w:fill="009FE3"/>
            <w:vAlign w:val="center"/>
          </w:tcPr>
          <w:p w14:paraId="000000A2" w14:textId="0E665DD4" w:rsidR="00474B94" w:rsidRDefault="00474B94">
            <w:pPr>
              <w:widowControl w:val="0"/>
              <w:pBdr>
                <w:top w:val="nil"/>
                <w:left w:val="nil"/>
                <w:bottom w:val="nil"/>
                <w:right w:val="nil"/>
                <w:between w:val="nil"/>
              </w:pBdr>
              <w:spacing w:line="276" w:lineRule="auto"/>
              <w:rPr>
                <w:rFonts w:ascii="Calibri" w:eastAsia="Calibri" w:hAnsi="Calibri" w:cs="Calibri"/>
                <w:sz w:val="22"/>
                <w:szCs w:val="22"/>
              </w:rPr>
            </w:pPr>
          </w:p>
        </w:tc>
        <w:tc>
          <w:tcPr>
            <w:tcW w:w="3122" w:type="dxa"/>
            <w:tcBorders>
              <w:top w:val="single" w:sz="4" w:space="0" w:color="FFFFFF"/>
              <w:left w:val="single" w:sz="4" w:space="0" w:color="FFFFFF"/>
              <w:bottom w:val="single" w:sz="4" w:space="0" w:color="FFFFFF"/>
              <w:right w:val="single" w:sz="4" w:space="0" w:color="FFFFFF"/>
            </w:tcBorders>
            <w:shd w:val="clear" w:color="auto" w:fill="E3E3E3"/>
          </w:tcPr>
          <w:p w14:paraId="000000A3" w14:textId="577C0B91"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Ak objem odberu elektriny v hodine je nižší ako hodnota FWD diagramu</w:t>
            </w:r>
          </w:p>
        </w:tc>
        <w:tc>
          <w:tcPr>
            <w:tcW w:w="2125"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A4" w14:textId="0FE32B98"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SP</w:t>
            </w:r>
            <w:r>
              <w:rPr>
                <w:rFonts w:ascii="Calibri" w:eastAsia="Calibri" w:hAnsi="Calibri" w:cs="Calibri"/>
                <w:sz w:val="22"/>
                <w:szCs w:val="22"/>
              </w:rPr>
              <w:t xml:space="preserve"> v danej hodine je  </w:t>
            </w:r>
          </w:p>
          <w:p w14:paraId="000000A5" w14:textId="582846D2"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 xml:space="preserve">FW </w:t>
            </w:r>
            <w:r>
              <w:rPr>
                <w:rFonts w:ascii="Calibri" w:eastAsia="Calibri" w:hAnsi="Calibri" w:cs="Calibri"/>
                <w:sz w:val="22"/>
                <w:szCs w:val="22"/>
              </w:rPr>
              <w:t>– Q</w:t>
            </w:r>
            <w:r>
              <w:rPr>
                <w:rFonts w:ascii="Calibri" w:eastAsia="Calibri" w:hAnsi="Calibri" w:cs="Calibri"/>
                <w:sz w:val="22"/>
                <w:szCs w:val="22"/>
                <w:vertAlign w:val="subscript"/>
              </w:rPr>
              <w:t>R</w:t>
            </w:r>
            <w:r>
              <w:rPr>
                <w:rFonts w:ascii="Calibri" w:eastAsia="Calibri" w:hAnsi="Calibri" w:cs="Calibri"/>
                <w:sz w:val="22"/>
                <w:szCs w:val="22"/>
              </w:rPr>
              <w:t>)</w:t>
            </w:r>
          </w:p>
        </w:tc>
        <w:tc>
          <w:tcPr>
            <w:tcW w:w="2408"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A6" w14:textId="0BF88110"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ISOT – Aditív (€/MWh)</w:t>
            </w:r>
          </w:p>
        </w:tc>
      </w:tr>
    </w:tbl>
    <w:p w14:paraId="000000A7" w14:textId="441BC1E6" w:rsidR="00474B94" w:rsidRDefault="007952C8">
      <w:pPr>
        <w:pBdr>
          <w:top w:val="nil"/>
          <w:left w:val="nil"/>
          <w:bottom w:val="nil"/>
          <w:right w:val="nil"/>
          <w:between w:val="nil"/>
        </w:pBdr>
        <w:tabs>
          <w:tab w:val="left" w:pos="3260"/>
        </w:tabs>
        <w:ind w:left="482" w:hanging="482"/>
        <w:jc w:val="both"/>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p>
    <w:p w14:paraId="000000A8" w14:textId="199AF0CC" w:rsidR="00474B94" w:rsidRDefault="007952C8">
      <w:pPr>
        <w:pBdr>
          <w:top w:val="nil"/>
          <w:left w:val="nil"/>
          <w:bottom w:val="nil"/>
          <w:right w:val="nil"/>
          <w:between w:val="nil"/>
        </w:pBdr>
        <w:tabs>
          <w:tab w:val="left" w:pos="0"/>
        </w:tabs>
        <w:ind w:left="900" w:hanging="220"/>
        <w:jc w:val="both"/>
        <w:rPr>
          <w:rFonts w:ascii="Calibri" w:eastAsia="Calibri" w:hAnsi="Calibri" w:cs="Calibri"/>
          <w:sz w:val="22"/>
          <w:szCs w:val="22"/>
        </w:rPr>
      </w:pPr>
      <w:r>
        <w:rPr>
          <w:rFonts w:ascii="Calibri" w:eastAsia="Calibri" w:hAnsi="Calibri" w:cs="Calibri"/>
          <w:sz w:val="22"/>
          <w:szCs w:val="22"/>
        </w:rPr>
        <w:t xml:space="preserve">kde: </w:t>
      </w:r>
    </w:p>
    <w:p w14:paraId="000000A9" w14:textId="645C155E"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SN</w:t>
      </w:r>
      <w:r>
        <w:rPr>
          <w:rFonts w:ascii="Calibri" w:eastAsia="Calibri" w:hAnsi="Calibri" w:cs="Calibri"/>
          <w:sz w:val="22"/>
          <w:szCs w:val="22"/>
        </w:rPr>
        <w:t xml:space="preserve"> je objem spotového nákupu na príslušnú hodinu</w:t>
      </w:r>
    </w:p>
    <w:p w14:paraId="000000AA" w14:textId="5C373049"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SP</w:t>
      </w:r>
      <w:r>
        <w:rPr>
          <w:rFonts w:ascii="Calibri" w:eastAsia="Calibri" w:hAnsi="Calibri" w:cs="Calibri"/>
          <w:sz w:val="22"/>
          <w:szCs w:val="22"/>
        </w:rPr>
        <w:t xml:space="preserve"> je objem spotového predaja na príslušnú hodinu</w:t>
      </w:r>
    </w:p>
    <w:p w14:paraId="000000AB" w14:textId="36A72EF0"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FW</w:t>
      </w:r>
      <w:r>
        <w:rPr>
          <w:rFonts w:ascii="Calibri" w:eastAsia="Calibri" w:hAnsi="Calibri" w:cs="Calibri"/>
          <w:sz w:val="22"/>
          <w:szCs w:val="22"/>
        </w:rPr>
        <w:t xml:space="preserve"> je  hodinový objem forwardového nákupu v MWh podľa odberovým diagramom forwardového nákupu (FWD diagram)</w:t>
      </w:r>
    </w:p>
    <w:p w14:paraId="000000AC" w14:textId="4E23CB5B"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R</w:t>
      </w:r>
      <w:r>
        <w:rPr>
          <w:rFonts w:ascii="Calibri" w:eastAsia="Calibri" w:hAnsi="Calibri" w:cs="Calibri"/>
          <w:sz w:val="22"/>
          <w:szCs w:val="22"/>
        </w:rPr>
        <w:t xml:space="preserve"> je reálny hodinový odber elektriny v MWh v danej hodine H </w:t>
      </w:r>
    </w:p>
    <w:p w14:paraId="000000AD" w14:textId="540D6E6C"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ISOT je cena elektriny na krátkodobom trhu s elektrickou energiou pre príslušnú hodinu, zverejnená na stránke </w:t>
      </w:r>
      <w:hyperlink r:id="rId8" w:history="1">
        <w:r>
          <w:rPr>
            <w:rFonts w:ascii="Calibri" w:eastAsia="Calibri" w:hAnsi="Calibri" w:cs="Calibri"/>
            <w:sz w:val="22"/>
            <w:szCs w:val="22"/>
            <w:u w:val="single"/>
          </w:rPr>
          <w:t>https://www.okte.sk/sk/kratkodoby-trh/zverejnenie-udajov-dt/celkove-vysledky-dt/</w:t>
        </w:r>
      </w:hyperlink>
      <w:r>
        <w:rPr>
          <w:rFonts w:ascii="Calibri" w:eastAsia="Calibri" w:hAnsi="Calibri" w:cs="Calibri"/>
          <w:sz w:val="22"/>
          <w:szCs w:val="22"/>
        </w:rPr>
        <w:t xml:space="preserve">. V prípade zmeny umiestnenia publikovaných cien na stránke </w:t>
      </w:r>
      <w:hyperlink r:id="rId9" w:history="1">
        <w:r>
          <w:rPr>
            <w:rFonts w:ascii="Calibri" w:eastAsia="Calibri" w:hAnsi="Calibri" w:cs="Calibri"/>
            <w:sz w:val="22"/>
            <w:szCs w:val="22"/>
            <w:u w:val="single"/>
          </w:rPr>
          <w:t>www.okte.sk</w:t>
        </w:r>
      </w:hyperlink>
      <w:r>
        <w:rPr>
          <w:rFonts w:ascii="Calibri" w:eastAsia="Calibri" w:hAnsi="Calibri" w:cs="Calibri"/>
          <w:sz w:val="22"/>
          <w:szCs w:val="22"/>
        </w:rPr>
        <w:t xml:space="preserve"> sa použije zdroj cien, ktorý čo najlepšie zodpovedá tomuto účelu.</w:t>
      </w:r>
    </w:p>
    <w:p w14:paraId="000000AE" w14:textId="4C1B9CB9" w:rsidR="00474B94" w:rsidRDefault="00474B94">
      <w:pPr>
        <w:pBdr>
          <w:top w:val="nil"/>
          <w:left w:val="nil"/>
          <w:bottom w:val="nil"/>
          <w:right w:val="nil"/>
          <w:between w:val="nil"/>
        </w:pBdr>
        <w:tabs>
          <w:tab w:val="left" w:pos="3260"/>
        </w:tabs>
        <w:ind w:left="482" w:hanging="482"/>
        <w:jc w:val="both"/>
        <w:rPr>
          <w:rFonts w:ascii="Calibri" w:eastAsia="Calibri" w:hAnsi="Calibri" w:cs="Calibri"/>
          <w:sz w:val="22"/>
          <w:szCs w:val="22"/>
        </w:rPr>
      </w:pPr>
    </w:p>
    <w:p w14:paraId="000000AF" w14:textId="41F65E12"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u w:val="single"/>
        </w:rPr>
      </w:pPr>
      <w:r>
        <w:rPr>
          <w:rFonts w:ascii="Calibri" w:eastAsia="Calibri" w:hAnsi="Calibri" w:cs="Calibri"/>
          <w:sz w:val="22"/>
          <w:szCs w:val="22"/>
          <w:u w:val="single"/>
        </w:rPr>
        <w:t>Výsledná cena elektriny za príslušný mesiac bude stanovená nasledovne:</w:t>
      </w:r>
    </w:p>
    <w:p w14:paraId="000000B0" w14:textId="276B6DF6" w:rsidR="00474B94" w:rsidRDefault="007952C8">
      <w:pPr>
        <w:ind w:left="425"/>
        <w:rPr>
          <w:rFonts w:ascii="Calibri" w:eastAsia="Calibri" w:hAnsi="Calibri" w:cs="Calibri"/>
          <w:sz w:val="22"/>
          <w:szCs w:val="22"/>
        </w:rPr>
      </w:pPr>
      <w:r>
        <w:rPr>
          <w:rFonts w:ascii="Calibri" w:eastAsia="Calibri" w:hAnsi="Calibri" w:cs="Calibri"/>
          <w:sz w:val="22"/>
          <w:szCs w:val="22"/>
        </w:rPr>
        <w:t>Výsledná cena elektriny bude pozostávať z ceny zo forwardový nákup a spotové bilancovanie, podľa nasledovného vzorca:</w:t>
      </w:r>
    </w:p>
    <w:tbl>
      <w:tblPr>
        <w:tblStyle w:val="a7"/>
        <w:tblW w:w="7654" w:type="dxa"/>
        <w:tblInd w:w="56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2193"/>
        <w:gridCol w:w="5461"/>
      </w:tblGrid>
      <w:tr w:rsidR="00474B94" w14:paraId="36CFCC32" w14:textId="77777777">
        <w:trPr>
          <w:trHeight w:val="567"/>
        </w:trPr>
        <w:tc>
          <w:tcPr>
            <w:tcW w:w="2193"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B1" w14:textId="3F222F30" w:rsidR="00474B94" w:rsidRDefault="00474B94">
            <w:pPr>
              <w:rPr>
                <w:rFonts w:ascii="Calibri" w:eastAsia="Calibri" w:hAnsi="Calibri" w:cs="Calibri"/>
                <w:sz w:val="22"/>
                <w:szCs w:val="22"/>
              </w:rPr>
            </w:pPr>
          </w:p>
        </w:tc>
        <w:tc>
          <w:tcPr>
            <w:tcW w:w="5461"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B2" w14:textId="11DBFA68"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Vzorec</w:t>
            </w:r>
          </w:p>
        </w:tc>
      </w:tr>
      <w:tr w:rsidR="00474B94" w14:paraId="7D20EA38" w14:textId="77777777">
        <w:trPr>
          <w:trHeight w:val="416"/>
        </w:trPr>
        <w:tc>
          <w:tcPr>
            <w:tcW w:w="2193" w:type="dxa"/>
            <w:tcBorders>
              <w:top w:val="single" w:sz="4" w:space="0" w:color="FFFFFF"/>
              <w:left w:val="single" w:sz="4" w:space="0" w:color="FFFFFF"/>
              <w:bottom w:val="single" w:sz="4" w:space="0" w:color="FFFFFF"/>
              <w:right w:val="single" w:sz="4" w:space="0" w:color="FFFFFF"/>
            </w:tcBorders>
            <w:shd w:val="clear" w:color="auto" w:fill="009FE3"/>
            <w:vAlign w:val="center"/>
          </w:tcPr>
          <w:p w14:paraId="000000B3" w14:textId="08A8618A" w:rsidR="00474B94" w:rsidRDefault="007952C8">
            <w:pPr>
              <w:rPr>
                <w:rFonts w:ascii="Calibri" w:eastAsia="Calibri" w:hAnsi="Calibri" w:cs="Calibri"/>
                <w:color w:val="FFFFFF"/>
                <w:sz w:val="22"/>
                <w:szCs w:val="22"/>
              </w:rPr>
            </w:pPr>
            <w:r>
              <w:rPr>
                <w:rFonts w:ascii="Calibri" w:eastAsia="Calibri" w:hAnsi="Calibri" w:cs="Calibri"/>
                <w:color w:val="FFFFFF"/>
                <w:sz w:val="22"/>
                <w:szCs w:val="22"/>
              </w:rPr>
              <w:t>Výpočet výslednej ceny</w:t>
            </w:r>
          </w:p>
        </w:tc>
        <w:tc>
          <w:tcPr>
            <w:tcW w:w="5461"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B4" w14:textId="371BAB87" w:rsidR="00474B94" w:rsidRDefault="007952C8">
            <w:pPr>
              <w:pBdr>
                <w:top w:val="nil"/>
                <w:left w:val="nil"/>
                <w:bottom w:val="nil"/>
                <w:right w:val="nil"/>
                <w:between w:val="nil"/>
              </w:pBdr>
              <w:ind w:left="425" w:hanging="425"/>
              <w:jc w:val="center"/>
              <w:rPr>
                <w:rFonts w:ascii="Calibri" w:eastAsia="Calibri" w:hAnsi="Calibri" w:cs="Calibri"/>
                <w:color w:val="009FE3"/>
                <w:sz w:val="22"/>
                <w:szCs w:val="22"/>
              </w:rPr>
            </w:pPr>
            <w:r>
              <w:rPr>
                <w:rFonts w:ascii="Calibri" w:eastAsia="Calibri" w:hAnsi="Calibri" w:cs="Calibri"/>
                <w:sz w:val="22"/>
                <w:szCs w:val="22"/>
              </w:rPr>
              <w:t>cena =  (cena</w:t>
            </w:r>
            <w:r>
              <w:rPr>
                <w:rFonts w:ascii="Calibri" w:eastAsia="Calibri" w:hAnsi="Calibri" w:cs="Calibri"/>
                <w:sz w:val="22"/>
                <w:szCs w:val="22"/>
                <w:vertAlign w:val="subscript"/>
              </w:rPr>
              <w:t>FW</w:t>
            </w:r>
            <w:r>
              <w:rPr>
                <w:rFonts w:ascii="Calibri" w:eastAsia="Calibri" w:hAnsi="Calibri" w:cs="Calibri"/>
                <w:sz w:val="22"/>
                <w:szCs w:val="22"/>
              </w:rPr>
              <w:t xml:space="preserve"> x  Q</w:t>
            </w:r>
            <w:r>
              <w:rPr>
                <w:rFonts w:ascii="Calibri" w:eastAsia="Calibri" w:hAnsi="Calibri" w:cs="Calibri"/>
                <w:sz w:val="22"/>
                <w:szCs w:val="22"/>
                <w:vertAlign w:val="subscript"/>
              </w:rPr>
              <w:t>FW</w:t>
            </w:r>
            <w:r>
              <w:rPr>
                <w:rFonts w:ascii="Calibri" w:eastAsia="Calibri" w:hAnsi="Calibri" w:cs="Calibri"/>
                <w:sz w:val="22"/>
                <w:szCs w:val="22"/>
              </w:rPr>
              <w:t xml:space="preserve"> + SPOT</w:t>
            </w:r>
            <w:r>
              <w:rPr>
                <w:rFonts w:ascii="Calibri" w:eastAsia="Calibri" w:hAnsi="Calibri" w:cs="Calibri"/>
                <w:sz w:val="22"/>
                <w:szCs w:val="22"/>
                <w:vertAlign w:val="subscript"/>
              </w:rPr>
              <w:t>N</w:t>
            </w:r>
            <w:r>
              <w:rPr>
                <w:rFonts w:ascii="Calibri" w:eastAsia="Calibri" w:hAnsi="Calibri" w:cs="Calibri"/>
                <w:sz w:val="22"/>
                <w:szCs w:val="22"/>
              </w:rPr>
              <w:t xml:space="preserve"> – SPOT</w:t>
            </w:r>
            <w:r>
              <w:rPr>
                <w:rFonts w:ascii="Calibri" w:eastAsia="Calibri" w:hAnsi="Calibri" w:cs="Calibri"/>
                <w:sz w:val="22"/>
                <w:szCs w:val="22"/>
                <w:vertAlign w:val="subscript"/>
              </w:rPr>
              <w:t>P</w:t>
            </w:r>
            <w:r>
              <w:rPr>
                <w:rFonts w:ascii="Calibri" w:eastAsia="Calibri" w:hAnsi="Calibri" w:cs="Calibri"/>
                <w:sz w:val="22"/>
                <w:szCs w:val="22"/>
              </w:rPr>
              <w:t>) / Q</w:t>
            </w:r>
            <w:r>
              <w:rPr>
                <w:rFonts w:ascii="Calibri" w:eastAsia="Calibri" w:hAnsi="Calibri" w:cs="Calibri"/>
                <w:sz w:val="22"/>
                <w:szCs w:val="22"/>
                <w:vertAlign w:val="subscript"/>
              </w:rPr>
              <w:t>O</w:t>
            </w:r>
            <w:r>
              <w:rPr>
                <w:rFonts w:ascii="Calibri" w:eastAsia="Calibri" w:hAnsi="Calibri" w:cs="Calibri"/>
                <w:sz w:val="22"/>
                <w:szCs w:val="22"/>
              </w:rPr>
              <w:t xml:space="preserve">  €/MWh</w:t>
            </w:r>
          </w:p>
        </w:tc>
      </w:tr>
    </w:tbl>
    <w:p w14:paraId="000000B5" w14:textId="1785A89A" w:rsidR="00474B94" w:rsidRDefault="00474B94">
      <w:pPr>
        <w:pBdr>
          <w:top w:val="nil"/>
          <w:left w:val="nil"/>
          <w:bottom w:val="nil"/>
          <w:right w:val="nil"/>
          <w:between w:val="nil"/>
        </w:pBdr>
        <w:tabs>
          <w:tab w:val="left" w:pos="0"/>
        </w:tabs>
        <w:ind w:left="900" w:hanging="220"/>
        <w:jc w:val="both"/>
        <w:rPr>
          <w:rFonts w:ascii="Calibri" w:eastAsia="Calibri" w:hAnsi="Calibri" w:cs="Calibri"/>
          <w:sz w:val="22"/>
          <w:szCs w:val="22"/>
        </w:rPr>
      </w:pPr>
    </w:p>
    <w:p w14:paraId="000000B6" w14:textId="5028EA2B" w:rsidR="00474B94" w:rsidRDefault="007952C8">
      <w:pPr>
        <w:pBdr>
          <w:top w:val="nil"/>
          <w:left w:val="nil"/>
          <w:bottom w:val="nil"/>
          <w:right w:val="nil"/>
          <w:between w:val="nil"/>
        </w:pBdr>
        <w:tabs>
          <w:tab w:val="left" w:pos="0"/>
        </w:tabs>
        <w:ind w:left="900" w:hanging="220"/>
        <w:jc w:val="both"/>
        <w:rPr>
          <w:rFonts w:ascii="Calibri" w:eastAsia="Calibri" w:hAnsi="Calibri" w:cs="Calibri"/>
          <w:sz w:val="22"/>
          <w:szCs w:val="22"/>
        </w:rPr>
      </w:pPr>
      <w:r>
        <w:rPr>
          <w:rFonts w:ascii="Calibri" w:eastAsia="Calibri" w:hAnsi="Calibri" w:cs="Calibri"/>
          <w:sz w:val="22"/>
          <w:szCs w:val="22"/>
        </w:rPr>
        <w:t xml:space="preserve">kde:     </w:t>
      </w:r>
    </w:p>
    <w:p w14:paraId="000000B7" w14:textId="1D0F88C7"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cena</w:t>
      </w:r>
      <w:r>
        <w:rPr>
          <w:rFonts w:ascii="Calibri" w:eastAsia="Calibri" w:hAnsi="Calibri" w:cs="Calibri"/>
          <w:sz w:val="22"/>
          <w:szCs w:val="22"/>
          <w:vertAlign w:val="subscript"/>
        </w:rPr>
        <w:t>FW</w:t>
      </w:r>
      <w:r>
        <w:rPr>
          <w:rFonts w:ascii="Calibri" w:eastAsia="Calibri" w:hAnsi="Calibri" w:cs="Calibri"/>
          <w:sz w:val="22"/>
          <w:szCs w:val="22"/>
        </w:rPr>
        <w:t xml:space="preserve"> je vážená priemerná cena všetkých forwardových tranžových nákupov na príslušné obdobie,</w:t>
      </w:r>
    </w:p>
    <w:p w14:paraId="000000B8" w14:textId="767BEE51"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FW</w:t>
      </w:r>
      <w:r>
        <w:rPr>
          <w:rFonts w:ascii="Calibri" w:eastAsia="Calibri" w:hAnsi="Calibri" w:cs="Calibri"/>
          <w:sz w:val="22"/>
          <w:szCs w:val="22"/>
        </w:rPr>
        <w:t xml:space="preserve"> je objem mesačného forwardového nákupu na príslušný mesiac (suma FWD diagram za mesiac),</w:t>
      </w:r>
    </w:p>
    <w:p w14:paraId="000000B9" w14:textId="2C0A61EE"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SPOT</w:t>
      </w:r>
      <w:r>
        <w:rPr>
          <w:rFonts w:ascii="Calibri" w:eastAsia="Calibri" w:hAnsi="Calibri" w:cs="Calibri"/>
          <w:sz w:val="22"/>
          <w:szCs w:val="22"/>
          <w:vertAlign w:val="subscript"/>
        </w:rPr>
        <w:t>N</w:t>
      </w:r>
      <w:r>
        <w:rPr>
          <w:rFonts w:ascii="Calibri" w:eastAsia="Calibri" w:hAnsi="Calibri" w:cs="Calibri"/>
          <w:sz w:val="22"/>
          <w:szCs w:val="22"/>
        </w:rPr>
        <w:t xml:space="preserve"> je suma spotových nákupov v EUR za všetky hodiny príslušného mesiaca. Spotový nákup v EUR v danej hodine sa vypočíta ako súčin množstva (Q</w:t>
      </w:r>
      <w:r>
        <w:rPr>
          <w:rFonts w:ascii="Calibri" w:eastAsia="Calibri" w:hAnsi="Calibri" w:cs="Calibri"/>
          <w:sz w:val="22"/>
          <w:szCs w:val="22"/>
          <w:vertAlign w:val="subscript"/>
        </w:rPr>
        <w:t>SN</w:t>
      </w:r>
      <w:r>
        <w:rPr>
          <w:rFonts w:ascii="Calibri" w:eastAsia="Calibri" w:hAnsi="Calibri" w:cs="Calibri"/>
          <w:sz w:val="22"/>
          <w:szCs w:val="22"/>
        </w:rPr>
        <w:t>) a spotovej ceny v príslušnej hodine,</w:t>
      </w:r>
    </w:p>
    <w:p w14:paraId="000000BA" w14:textId="66E06D58"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SPOT</w:t>
      </w:r>
      <w:r>
        <w:rPr>
          <w:rFonts w:ascii="Calibri" w:eastAsia="Calibri" w:hAnsi="Calibri" w:cs="Calibri"/>
          <w:sz w:val="22"/>
          <w:szCs w:val="22"/>
          <w:vertAlign w:val="subscript"/>
        </w:rPr>
        <w:t xml:space="preserve">P </w:t>
      </w:r>
      <w:r>
        <w:rPr>
          <w:rFonts w:ascii="Calibri" w:eastAsia="Calibri" w:hAnsi="Calibri" w:cs="Calibri"/>
          <w:sz w:val="22"/>
          <w:szCs w:val="22"/>
        </w:rPr>
        <w:t>je suma spotových predajov v EUR za všetky hodiny príslušného mesiaca. Spotový predaj v EUR v danej hodine sa vypočíta ako súčin množstva (Q</w:t>
      </w:r>
      <w:r>
        <w:rPr>
          <w:rFonts w:ascii="Calibri" w:eastAsia="Calibri" w:hAnsi="Calibri" w:cs="Calibri"/>
          <w:sz w:val="22"/>
          <w:szCs w:val="22"/>
          <w:vertAlign w:val="subscript"/>
        </w:rPr>
        <w:t>SP</w:t>
      </w:r>
      <w:r>
        <w:rPr>
          <w:rFonts w:ascii="Calibri" w:eastAsia="Calibri" w:hAnsi="Calibri" w:cs="Calibri"/>
          <w:sz w:val="22"/>
          <w:szCs w:val="22"/>
        </w:rPr>
        <w:t>) a spotovej ceny v príslušnej hodine,</w:t>
      </w:r>
    </w:p>
    <w:p w14:paraId="000000BB" w14:textId="6AB312F4"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O</w:t>
      </w:r>
      <w:r>
        <w:rPr>
          <w:rFonts w:ascii="Calibri" w:eastAsia="Calibri" w:hAnsi="Calibri" w:cs="Calibri"/>
          <w:sz w:val="22"/>
          <w:szCs w:val="22"/>
        </w:rPr>
        <w:t xml:space="preserve"> je reálny odber elektriny v MWh v danom mesiaci.</w:t>
      </w:r>
    </w:p>
    <w:p w14:paraId="000000BC" w14:textId="2270FF7F" w:rsidR="00474B94" w:rsidRDefault="00474B94">
      <w:pPr>
        <w:pBdr>
          <w:top w:val="nil"/>
          <w:left w:val="nil"/>
          <w:bottom w:val="nil"/>
          <w:right w:val="nil"/>
          <w:between w:val="nil"/>
        </w:pBdr>
        <w:ind w:left="482" w:hanging="482"/>
        <w:jc w:val="both"/>
        <w:rPr>
          <w:rFonts w:ascii="Calibri" w:eastAsia="Calibri" w:hAnsi="Calibri" w:cs="Calibri"/>
          <w:b/>
          <w:sz w:val="22"/>
          <w:szCs w:val="22"/>
        </w:rPr>
      </w:pPr>
    </w:p>
    <w:p w14:paraId="4C58079B" w14:textId="0884D48C" w:rsidR="006314E9" w:rsidRPr="00ED343A" w:rsidRDefault="007952C8" w:rsidP="00BC48C3">
      <w:pPr>
        <w:pStyle w:val="Odsekzoznamu"/>
        <w:numPr>
          <w:ilvl w:val="0"/>
          <w:numId w:val="10"/>
        </w:numPr>
        <w:ind w:left="426" w:hanging="426"/>
        <w:jc w:val="both"/>
        <w:rPr>
          <w:rFonts w:ascii="Calibri" w:eastAsia="Calibri" w:hAnsi="Calibri" w:cs="Calibri"/>
          <w:sz w:val="22"/>
          <w:szCs w:val="22"/>
        </w:rPr>
      </w:pPr>
      <w:r>
        <w:rPr>
          <w:rFonts w:ascii="Calibri" w:eastAsia="Calibri" w:hAnsi="Calibri" w:cs="Calibri"/>
          <w:sz w:val="22"/>
          <w:szCs w:val="22"/>
          <w:u w:val="single"/>
        </w:rPr>
        <w:t>Po ukončení každého kalendárneho mesiaca dodávateľ vypracuje zúčtovaciu tabuľku</w:t>
      </w:r>
      <w:r>
        <w:rPr>
          <w:rFonts w:ascii="Calibri" w:eastAsia="Calibri" w:hAnsi="Calibri" w:cs="Calibri"/>
          <w:sz w:val="22"/>
          <w:szCs w:val="22"/>
        </w:rPr>
        <w:t xml:space="preserve"> s výpočtom fakturačnej ceny elektriny a zašle ju Odberateľovi, vždy najneskôr do 20.dňa nasledujúceho mesiaca. </w:t>
      </w:r>
      <w:r w:rsidR="006314E9" w:rsidRPr="00ED343A">
        <w:rPr>
          <w:rFonts w:ascii="Calibri" w:eastAsia="Calibri" w:hAnsi="Calibri" w:cs="Calibri"/>
          <w:sz w:val="22"/>
          <w:szCs w:val="22"/>
        </w:rPr>
        <w:t xml:space="preserve">. </w:t>
      </w:r>
      <w:r w:rsidR="00C0649A">
        <w:rPr>
          <w:rFonts w:ascii="Calibri" w:eastAsia="Calibri" w:hAnsi="Calibri" w:cs="Calibri"/>
          <w:sz w:val="22"/>
          <w:szCs w:val="22"/>
        </w:rPr>
        <w:t xml:space="preserve">Dodávateľ </w:t>
      </w:r>
      <w:r w:rsidR="006314E9" w:rsidRPr="00ED343A">
        <w:rPr>
          <w:rFonts w:ascii="Calibri" w:eastAsia="Calibri" w:hAnsi="Calibri" w:cs="Calibri"/>
          <w:sz w:val="22"/>
          <w:szCs w:val="22"/>
        </w:rPr>
        <w:t>vypočíta výslednú fakturačnú cenu elektriny pre každý mesiac ako vážený priemer jednotlivých ročných</w:t>
      </w:r>
      <w:r w:rsidR="006314E9">
        <w:rPr>
          <w:rFonts w:ascii="Calibri" w:eastAsia="Calibri" w:hAnsi="Calibri" w:cs="Calibri"/>
          <w:sz w:val="22"/>
          <w:szCs w:val="22"/>
        </w:rPr>
        <w:t xml:space="preserve"> nákupov a spotového bilancovania</w:t>
      </w:r>
      <w:r w:rsidR="006314E9" w:rsidRPr="00ED343A">
        <w:rPr>
          <w:rFonts w:ascii="Calibri" w:eastAsia="Calibri" w:hAnsi="Calibri" w:cs="Calibri"/>
          <w:sz w:val="22"/>
          <w:szCs w:val="22"/>
        </w:rPr>
        <w:t>. Fakturačná cena sa počíta súhrnne pre subjekty StVPS, a.s. Banská Bystrica a PVPS, a.s. Poprad</w:t>
      </w:r>
      <w:r w:rsidR="006314E9">
        <w:rPr>
          <w:rFonts w:ascii="Calibri" w:eastAsia="Calibri" w:hAnsi="Calibri" w:cs="Calibri"/>
          <w:sz w:val="22"/>
          <w:szCs w:val="22"/>
        </w:rPr>
        <w:t xml:space="preserve">, </w:t>
      </w:r>
      <w:r w:rsidR="006314E9" w:rsidRPr="00ED343A">
        <w:rPr>
          <w:rFonts w:ascii="Calibri" w:eastAsia="Calibri" w:hAnsi="Calibri" w:cs="Calibri"/>
          <w:sz w:val="22"/>
          <w:szCs w:val="22"/>
        </w:rPr>
        <w:t xml:space="preserve">a to za predpokladu, že </w:t>
      </w:r>
      <w:r w:rsidR="00416394">
        <w:rPr>
          <w:rFonts w:ascii="Calibri" w:eastAsia="Calibri" w:hAnsi="Calibri" w:cs="Calibri"/>
          <w:sz w:val="22"/>
          <w:szCs w:val="22"/>
        </w:rPr>
        <w:t>dodávateľ</w:t>
      </w:r>
      <w:r w:rsidR="006314E9" w:rsidRPr="00ED343A">
        <w:rPr>
          <w:rFonts w:ascii="Calibri" w:eastAsia="Calibri" w:hAnsi="Calibri" w:cs="Calibri"/>
          <w:sz w:val="22"/>
          <w:szCs w:val="22"/>
        </w:rPr>
        <w:t xml:space="preserve"> má so všetkými uvedenými subjektami platne uzatvorenú zmluvu o dodávke elektriny.</w:t>
      </w:r>
    </w:p>
    <w:p w14:paraId="000000BD" w14:textId="6828A31E" w:rsidR="00474B94" w:rsidRDefault="007952C8" w:rsidP="00C0649A">
      <w:pPr>
        <w:numPr>
          <w:ilvl w:val="0"/>
          <w:numId w:val="10"/>
        </w:numPr>
        <w:pBdr>
          <w:top w:val="none" w:sz="0" w:space="0" w:color="000000"/>
          <w:left w:val="none" w:sz="0" w:space="0" w:color="000000"/>
          <w:bottom w:val="none" w:sz="0" w:space="0" w:color="000000"/>
          <w:right w:val="none" w:sz="0" w:space="0" w:color="000000"/>
          <w:between w:val="none" w:sz="0" w:space="0" w:color="000000"/>
        </w:pBdr>
        <w:ind w:left="426" w:hanging="426"/>
        <w:jc w:val="both"/>
        <w:rPr>
          <w:rFonts w:ascii="Calibri" w:eastAsia="Calibri" w:hAnsi="Calibri" w:cs="Calibri"/>
          <w:sz w:val="22"/>
          <w:szCs w:val="22"/>
        </w:rPr>
      </w:pPr>
      <w:r>
        <w:rPr>
          <w:rFonts w:ascii="Calibri" w:eastAsia="Calibri" w:hAnsi="Calibri" w:cs="Calibri"/>
          <w:sz w:val="22"/>
          <w:szCs w:val="22"/>
        </w:rPr>
        <w:t>Ak bude výsledkom výpočtu výslednej ceny záporné číslo, zmluvné strany sa dohodli, že cena za dodávku elektriny bude rovná 0,01 €/MWh.</w:t>
      </w:r>
    </w:p>
    <w:p w14:paraId="000000BE" w14:textId="3094DA95" w:rsidR="00474B94" w:rsidRDefault="00474B94" w:rsidP="00C0649A">
      <w:pPr>
        <w:pBdr>
          <w:top w:val="nil"/>
          <w:left w:val="nil"/>
          <w:bottom w:val="nil"/>
          <w:right w:val="nil"/>
          <w:between w:val="nil"/>
        </w:pBdr>
        <w:ind w:left="426" w:hanging="426"/>
        <w:jc w:val="both"/>
        <w:rPr>
          <w:rFonts w:ascii="Calibri" w:eastAsia="Calibri" w:hAnsi="Calibri" w:cs="Calibri"/>
          <w:sz w:val="22"/>
          <w:szCs w:val="22"/>
        </w:rPr>
      </w:pPr>
    </w:p>
    <w:p w14:paraId="000000C0" w14:textId="5FECB72D" w:rsidR="00474B94" w:rsidRDefault="00A62B92" w:rsidP="00C0649A">
      <w:p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rPr>
        <w:t xml:space="preserve">          </w:t>
      </w:r>
      <w:r w:rsidR="007952C8">
        <w:rPr>
          <w:rFonts w:ascii="Calibri" w:eastAsia="Calibri" w:hAnsi="Calibri" w:cs="Calibri"/>
          <w:sz w:val="22"/>
          <w:szCs w:val="22"/>
        </w:rPr>
        <w:t>Odberné miesta v mesačnej fakturácii budú fakturované v mesačnom intervale. Odberné miesta v ročnej fakturácii budú fakturované v ročnom intervale, pričom ročná spotreba sa prepočíta do jednotlivých mesiacov podľa typového diagramu odberu (TDO). V prípade faktúry mimo fakturačného cyklu sa odberné miesta vyfakturujú samostatne s použitím diagramu alebo TDO.</w:t>
      </w:r>
    </w:p>
    <w:p w14:paraId="000000C1" w14:textId="6D52160B" w:rsidR="00474B94" w:rsidRDefault="007952C8" w:rsidP="00BC48C3">
      <w:pPr>
        <w:numPr>
          <w:ilvl w:val="0"/>
          <w:numId w:val="10"/>
        </w:numPr>
        <w:pBdr>
          <w:top w:val="none" w:sz="0" w:space="0" w:color="000000"/>
          <w:left w:val="none" w:sz="0" w:space="0" w:color="000000"/>
          <w:bottom w:val="none" w:sz="0" w:space="0" w:color="000000"/>
          <w:right w:val="none" w:sz="0" w:space="0" w:color="000000"/>
          <w:between w:val="none" w:sz="0" w:space="0" w:color="000000"/>
        </w:pBdr>
        <w:ind w:left="426" w:hanging="426"/>
        <w:jc w:val="both"/>
        <w:rPr>
          <w:rFonts w:ascii="Calibri" w:eastAsia="Calibri" w:hAnsi="Calibri" w:cs="Calibri"/>
          <w:b/>
          <w:sz w:val="22"/>
          <w:szCs w:val="22"/>
        </w:rPr>
      </w:pPr>
      <w:r w:rsidRPr="00A62B92">
        <w:rPr>
          <w:rFonts w:ascii="Calibri" w:eastAsia="Calibri" w:hAnsi="Calibri" w:cs="Calibri"/>
          <w:sz w:val="22"/>
          <w:szCs w:val="22"/>
          <w:u w:val="single"/>
        </w:rPr>
        <w:t>Zelená</w:t>
      </w:r>
      <w:r w:rsidRPr="00A62B92">
        <w:rPr>
          <w:rFonts w:ascii="Calibri" w:eastAsia="Calibri" w:hAnsi="Calibri" w:cs="Calibri"/>
          <w:b/>
          <w:sz w:val="22"/>
          <w:szCs w:val="22"/>
          <w:u w:val="single"/>
        </w:rPr>
        <w:t xml:space="preserve"> </w:t>
      </w:r>
      <w:r w:rsidRPr="00A62B92">
        <w:rPr>
          <w:rFonts w:ascii="Calibri" w:eastAsia="Calibri" w:hAnsi="Calibri" w:cs="Calibri"/>
          <w:sz w:val="22"/>
          <w:szCs w:val="22"/>
          <w:u w:val="single"/>
        </w:rPr>
        <w:t>elektrina</w:t>
      </w:r>
      <w:r>
        <w:rPr>
          <w:rFonts w:ascii="Calibri" w:eastAsia="Calibri" w:hAnsi="Calibri" w:cs="Calibri"/>
          <w:b/>
          <w:sz w:val="22"/>
          <w:szCs w:val="22"/>
        </w:rPr>
        <w:t>:</w:t>
      </w:r>
    </w:p>
    <w:p w14:paraId="7D45915A" w14:textId="77777777" w:rsidR="00261347" w:rsidRDefault="00261347" w:rsidP="00261347">
      <w:pPr>
        <w:numPr>
          <w:ilvl w:val="0"/>
          <w:numId w:val="6"/>
        </w:numPr>
        <w:pBdr>
          <w:top w:val="none" w:sz="0" w:space="0" w:color="000000"/>
          <w:left w:val="none" w:sz="0" w:space="0" w:color="000000"/>
          <w:bottom w:val="none" w:sz="0" w:space="0" w:color="000000"/>
          <w:right w:val="none" w:sz="0" w:space="0" w:color="000000"/>
          <w:between w:val="none" w:sz="0" w:space="0" w:color="000000"/>
        </w:pBdr>
        <w:ind w:left="426" w:firstLine="0"/>
        <w:jc w:val="both"/>
        <w:rPr>
          <w:rFonts w:ascii="Calibri" w:eastAsia="Calibri" w:hAnsi="Calibri" w:cs="Calibri"/>
          <w:sz w:val="22"/>
          <w:szCs w:val="22"/>
        </w:rPr>
      </w:pPr>
      <w:r>
        <w:rPr>
          <w:rFonts w:ascii="Calibri" w:eastAsia="Calibri" w:hAnsi="Calibri" w:cs="Calibri"/>
          <w:sz w:val="22"/>
          <w:szCs w:val="22"/>
        </w:rPr>
        <w:t>Dodávateľ je povinný pre Odberateľa zabezpečiť a dodať elektrinu vyrobenú z OZE na celé obdobie dodávky, a to vo výške 30% zmluvného množstva;</w:t>
      </w:r>
    </w:p>
    <w:p w14:paraId="70E620D4" w14:textId="77777777" w:rsidR="00261347" w:rsidRDefault="00261347" w:rsidP="00261347">
      <w:pPr>
        <w:numPr>
          <w:ilvl w:val="0"/>
          <w:numId w:val="6"/>
        </w:numPr>
        <w:pBdr>
          <w:top w:val="none" w:sz="0" w:space="0" w:color="000000"/>
          <w:left w:val="none" w:sz="0" w:space="0" w:color="000000"/>
          <w:bottom w:val="none" w:sz="0" w:space="0" w:color="000000"/>
          <w:right w:val="none" w:sz="0" w:space="0" w:color="000000"/>
          <w:between w:val="none" w:sz="0" w:space="0" w:color="000000"/>
        </w:pBdr>
        <w:ind w:left="426" w:firstLine="0"/>
        <w:jc w:val="both"/>
        <w:rPr>
          <w:rFonts w:ascii="Calibri" w:eastAsia="Calibri" w:hAnsi="Calibri" w:cs="Calibri"/>
          <w:sz w:val="22"/>
          <w:szCs w:val="22"/>
        </w:rPr>
      </w:pPr>
      <w:r>
        <w:rPr>
          <w:rFonts w:ascii="Calibri" w:eastAsia="Calibri" w:hAnsi="Calibri" w:cs="Calibri"/>
          <w:sz w:val="22"/>
          <w:szCs w:val="22"/>
        </w:rPr>
        <w:t>Elektrina vyrobená z OZE je oslobodená od spotrebnej dane v zmysle § 7 ods. 1 písm. e), f) zákona č. 609/2007 Z.z. o spotrebnej dani z elektriny, uhlia a zemného plynu a o zmene a doplnení zákona č. 98/2004 Z.z. o spotrebnej dani z minerálneho oleja v znení neskorších predpisov;</w:t>
      </w:r>
    </w:p>
    <w:p w14:paraId="47865E06" w14:textId="77777777" w:rsidR="00261347" w:rsidRDefault="00261347" w:rsidP="00261347">
      <w:pPr>
        <w:numPr>
          <w:ilvl w:val="0"/>
          <w:numId w:val="6"/>
        </w:numPr>
        <w:pBdr>
          <w:top w:val="none" w:sz="0" w:space="0" w:color="000000"/>
          <w:left w:val="none" w:sz="0" w:space="0" w:color="000000"/>
          <w:bottom w:val="none" w:sz="0" w:space="0" w:color="000000"/>
          <w:right w:val="none" w:sz="0" w:space="0" w:color="000000"/>
          <w:between w:val="none" w:sz="0" w:space="0" w:color="000000"/>
        </w:pBdr>
        <w:ind w:left="426" w:firstLine="0"/>
        <w:jc w:val="both"/>
        <w:rPr>
          <w:rFonts w:ascii="Calibri" w:eastAsia="Calibri" w:hAnsi="Calibri" w:cs="Calibri"/>
          <w:sz w:val="22"/>
          <w:szCs w:val="22"/>
        </w:rPr>
      </w:pPr>
      <w:r>
        <w:rPr>
          <w:rFonts w:ascii="Calibri" w:eastAsia="Calibri" w:hAnsi="Calibri" w:cs="Calibri"/>
          <w:sz w:val="22"/>
          <w:szCs w:val="22"/>
        </w:rPr>
        <w:t>Dodávateľ bude Odberateľovi fakturovať dodávku elektriny ako oslobodenú od spotrebnej dane z elektriny a to počas celej doby odberu elektriny podľa tejto Zmluvy, ak bude súčasne splnená podmienka, že oslobodenie od spotrebnej dane z elektriny bude v čase dodávky v zmysle príslušných právnych predpisov trvať;</w:t>
      </w:r>
    </w:p>
    <w:p w14:paraId="08D1F382" w14:textId="77777777" w:rsidR="00261347" w:rsidRDefault="00261347" w:rsidP="00261347">
      <w:pPr>
        <w:numPr>
          <w:ilvl w:val="0"/>
          <w:numId w:val="6"/>
        </w:numPr>
        <w:pBdr>
          <w:top w:val="none" w:sz="0" w:space="0" w:color="000000"/>
          <w:left w:val="none" w:sz="0" w:space="0" w:color="000000"/>
          <w:bottom w:val="none" w:sz="0" w:space="0" w:color="000000"/>
          <w:right w:val="none" w:sz="0" w:space="0" w:color="000000"/>
          <w:between w:val="none" w:sz="0" w:space="0" w:color="000000"/>
        </w:pBdr>
        <w:ind w:left="426" w:firstLine="0"/>
        <w:jc w:val="both"/>
        <w:rPr>
          <w:rFonts w:ascii="Calibri" w:eastAsia="Calibri" w:hAnsi="Calibri" w:cs="Calibri"/>
          <w:sz w:val="22"/>
          <w:szCs w:val="22"/>
        </w:rPr>
      </w:pPr>
      <w:r>
        <w:rPr>
          <w:rFonts w:ascii="Calibri" w:eastAsia="Calibri" w:hAnsi="Calibri" w:cs="Calibri"/>
          <w:sz w:val="22"/>
          <w:szCs w:val="22"/>
        </w:rPr>
        <w:t>Odberateľ uhradí Dodávateľovi cenu za dodávku elektriny dohodnutú podľa Zmluvy, navýšenú o príplatok za dodávku elektriny vyrobenej z OZE;</w:t>
      </w:r>
    </w:p>
    <w:p w14:paraId="79778835" w14:textId="77777777" w:rsidR="00261347" w:rsidRDefault="00261347" w:rsidP="00261347">
      <w:pPr>
        <w:numPr>
          <w:ilvl w:val="0"/>
          <w:numId w:val="6"/>
        </w:numPr>
        <w:pBdr>
          <w:top w:val="none" w:sz="0" w:space="0" w:color="000000"/>
          <w:left w:val="none" w:sz="0" w:space="0" w:color="000000"/>
          <w:bottom w:val="none" w:sz="0" w:space="0" w:color="000000"/>
          <w:right w:val="none" w:sz="0" w:space="0" w:color="000000"/>
          <w:between w:val="none" w:sz="0" w:space="0" w:color="000000"/>
        </w:pBdr>
        <w:ind w:left="426" w:firstLine="0"/>
        <w:jc w:val="both"/>
        <w:rPr>
          <w:rFonts w:ascii="Calibri" w:eastAsia="Calibri" w:hAnsi="Calibri" w:cs="Calibri"/>
          <w:sz w:val="22"/>
          <w:szCs w:val="22"/>
        </w:rPr>
      </w:pPr>
      <w:r>
        <w:rPr>
          <w:rFonts w:ascii="Calibri" w:eastAsia="Calibri" w:hAnsi="Calibri" w:cs="Calibri"/>
          <w:sz w:val="22"/>
          <w:szCs w:val="22"/>
        </w:rPr>
        <w:t>Výška príplatku OZE je dohodnutá vo výške ..................... €/MWh bez DPH na celé zmluvné obdobie.</w:t>
      </w:r>
    </w:p>
    <w:p w14:paraId="79B14C1E" w14:textId="77777777" w:rsidR="00261347" w:rsidRDefault="00261347" w:rsidP="00261347">
      <w:pPr>
        <w:numPr>
          <w:ilvl w:val="0"/>
          <w:numId w:val="6"/>
        </w:numPr>
        <w:pBdr>
          <w:top w:val="none" w:sz="0" w:space="0" w:color="000000"/>
          <w:left w:val="none" w:sz="0" w:space="0" w:color="000000"/>
          <w:bottom w:val="none" w:sz="0" w:space="0" w:color="000000"/>
          <w:right w:val="none" w:sz="0" w:space="0" w:color="000000"/>
          <w:between w:val="none" w:sz="0" w:space="0" w:color="000000"/>
        </w:pBdr>
        <w:ind w:left="426" w:firstLine="0"/>
        <w:jc w:val="both"/>
        <w:rPr>
          <w:rFonts w:ascii="Calibri" w:eastAsia="Calibri" w:hAnsi="Calibri" w:cs="Calibri"/>
          <w:sz w:val="22"/>
          <w:szCs w:val="22"/>
        </w:rPr>
      </w:pPr>
      <w:r>
        <w:rPr>
          <w:rFonts w:ascii="Calibri" w:eastAsia="Calibri" w:hAnsi="Calibri" w:cs="Calibri"/>
          <w:sz w:val="22"/>
          <w:szCs w:val="22"/>
        </w:rPr>
        <w:t>Uvedený príplatok bude na faktúre za dodávku elektriny zahrnutý v tarifnej cene za dodávku elektriny.</w:t>
      </w:r>
    </w:p>
    <w:p w14:paraId="21C20646" w14:textId="77777777" w:rsidR="00261347" w:rsidRDefault="00261347" w:rsidP="00261347">
      <w:pPr>
        <w:numPr>
          <w:ilvl w:val="0"/>
          <w:numId w:val="6"/>
        </w:numPr>
        <w:pBdr>
          <w:top w:val="none" w:sz="0" w:space="0" w:color="000000"/>
          <w:left w:val="none" w:sz="0" w:space="0" w:color="000000"/>
          <w:bottom w:val="none" w:sz="0" w:space="0" w:color="000000"/>
          <w:right w:val="none" w:sz="0" w:space="0" w:color="000000"/>
          <w:between w:val="none" w:sz="0" w:space="0" w:color="000000"/>
        </w:pBdr>
        <w:ind w:left="426" w:firstLine="0"/>
        <w:jc w:val="both"/>
        <w:rPr>
          <w:rFonts w:ascii="Calibri" w:eastAsia="Calibri" w:hAnsi="Calibri" w:cs="Calibri"/>
          <w:sz w:val="22"/>
          <w:szCs w:val="22"/>
        </w:rPr>
      </w:pPr>
      <w:r>
        <w:rPr>
          <w:rFonts w:ascii="Calibri" w:eastAsia="Calibri" w:hAnsi="Calibri" w:cs="Calibri"/>
          <w:sz w:val="22"/>
          <w:szCs w:val="22"/>
        </w:rPr>
        <w:t>Ak počas platnosti Zmluvy dôjde k zmene zákona o spotrebnej dani, ktorý zamedzí oslobodiť dodávku elektriny od spotrebnej dane, Dodávateľ je oprávnený fakturovať spotrebnú daň v zmysle platnej legislatívy.</w:t>
      </w:r>
    </w:p>
    <w:p w14:paraId="000000C8" w14:textId="69B831FF"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Dodávateľ je oprávnený účtovať odberateľovi iba ceny uvedené v tomto článku Zmluvy a v článku VI. Zmluvy.</w:t>
      </w:r>
    </w:p>
    <w:p w14:paraId="000000C9" w14:textId="069A96FA"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Dodávateľ preberá zodpovednosť za odchýlku v plnom rozsahu.</w:t>
      </w:r>
    </w:p>
    <w:p w14:paraId="000000CA" w14:textId="79F47BB7"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K cenám sa pri fakturácii pripočítava DPH a spotrebná daň v súlade s platnými zákonmi SR.</w:t>
      </w:r>
    </w:p>
    <w:p w14:paraId="000000CB" w14:textId="24B90712"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 xml:space="preserve">Odberateľ je povinný a súčasne oprávnený odobrať v jednotlivých kalendárnych rokoch za dohodnutú cenu </w:t>
      </w:r>
      <w:r w:rsidRPr="00CA2875">
        <w:rPr>
          <w:rFonts w:ascii="Calibri" w:eastAsia="Calibri" w:hAnsi="Calibri" w:cs="Calibri"/>
          <w:sz w:val="22"/>
          <w:szCs w:val="22"/>
        </w:rPr>
        <w:t>pri plnej objemovej flexibilite</w:t>
      </w:r>
      <w:r>
        <w:rPr>
          <w:rFonts w:ascii="Calibri" w:eastAsia="Calibri" w:hAnsi="Calibri" w:cs="Calibri"/>
          <w:sz w:val="22"/>
          <w:szCs w:val="22"/>
        </w:rPr>
        <w:t xml:space="preserve"> množstva elektriny uvedeného v čl. II. bod 7. tejto Zmluvy. Uvedené sa nevzťahuje na prípady, ak nastanú udalosti alebo okolnosti alebo kombinácia udalostí alebo okolností, ktorá úplne alebo čiastočne bráni riadnemu splneniu tejto povinnosti, pokiaľ takéto udalosti alebo okolnosti nie sú primeraným spôsobom priamo alebo nepriamo kontrolované Odberateľom a nemohlo im byť zabránené pokiaľ by Odberateľ použil primerané opatrenia (tzv. „Vyššia moc“). Za Vyššiu moc sa pre účely tejto Zmluvy považuje najmä, ale nie výlučne povodeň, zemetrasenie alebo iná prírodná katastrofa, epidémia, akýkoľvek vojnový akt, ozbrojený konflikt, invázia, blokáda, akty terorizmu alebo aj zmena právnych predpisov.</w:t>
      </w:r>
    </w:p>
    <w:p w14:paraId="000000F0"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trike/>
          <w:sz w:val="22"/>
          <w:szCs w:val="22"/>
        </w:rPr>
      </w:pPr>
    </w:p>
    <w:p w14:paraId="000000F1"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 xml:space="preserve">VI. </w:t>
      </w:r>
    </w:p>
    <w:p w14:paraId="000000F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Distribučné služby a cena za distribučné služby</w:t>
      </w:r>
    </w:p>
    <w:p w14:paraId="000000F3" w14:textId="77777777"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počas zmluvného obdobia zabezpečí odberateľovi distribučné služby do odberných miest odberateľa.</w:t>
      </w:r>
    </w:p>
    <w:p w14:paraId="000000F4" w14:textId="77777777"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Dodávateľ bude účtovať odberateľovi cenu za distribučné služby v súlade s platnými cenovými rozhodnutiami ÚRSO vzťahujúcimi sa na distribučné služby poskytované PDS v platnom v čase dodávky elektrickej energie. Súlad s rozhodnutiami ÚRSO je dodávateľ povinný preukázať tak, aby nevznikali pochybnosti o tom, že takto účtované ceny sú v súlade s predmetnými rozhodnutiami. </w:t>
      </w:r>
    </w:p>
    <w:p w14:paraId="000000F5" w14:textId="77777777"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Dodávateľ bude účtovať odberateľovi ostatné služby súvisiace s distribúciou elektrickej energie podľa platného cenníka služieb distribúcie príslušného PDS. Súlad s platným cenníkom služieb je dodávateľ povinný preukázať tak, aby nevznikali pochybnosti o tom, že takto účtované ceny sú v súlade s predmetnými cenníkmi. </w:t>
      </w:r>
    </w:p>
    <w:p w14:paraId="000000F6" w14:textId="68BF2B48"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nie je oprávnený fakturovať odberateľovi akékoľvek ďalšie poplatky súvisiace s dodávkou elektrickej energie a distribučnými službami, pokiaľ mu povinnosť ich výberu od odberateľa nevyplýva priamo z platných právnych predpisov a/alebo rozhodnutí ÚRSO.</w:t>
      </w:r>
    </w:p>
    <w:p w14:paraId="000000F7" w14:textId="321DDC11"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PDS informuje Odberateľa o plánovanom obmedzení alebo prerušení distribučných služieb v súlade so zákonom č. 251/2012 Z.z.  o energetike a o zmene a doplnení niektorých zákonov v znení neskorších predpisov (ďalej len “zákon o energetike”) a Prevádzkovým poriadkom PDS.</w:t>
      </w:r>
    </w:p>
    <w:p w14:paraId="000000F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0F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 xml:space="preserve">VII. </w:t>
      </w:r>
    </w:p>
    <w:p w14:paraId="000000F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Meranie elektrickej energie a odpočty</w:t>
      </w:r>
    </w:p>
    <w:p w14:paraId="000000FB"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 elektrickej energie sa meria určeným meradlom (v zmysle zákona č. 157/2018 Z. z. o metrológii a o zmene a doplnení niektorých zákonov v znení neskorších predpisov).</w:t>
      </w:r>
    </w:p>
    <w:p w14:paraId="000000FC"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preberá zodpovednosť za odchýlku za odberné miesta.</w:t>
      </w:r>
    </w:p>
    <w:p w14:paraId="000000FD"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Meranie elektrickej energie a odpočty určeného meradla vrátane vyhodnocovania, odovzdávania výsledkov merania a ostatných informácií potrebných pre vyúčtovanie dodávky elektrickej energie a distribučných služieb vykonáva PDS. Odpočet určeného meradla sa vykonáva v súlade s Prevádzkovým poriadkom PDS. Dodávateľ fakturuje dodávku elektrickej energie a distribučné služby na základe týchto údajov. V prípade poruchy určeného meradla alebo fakturácie s nesprávnou konštantou má dodávateľ právo upraviť fakturačné hodnoty podľa údajov, ktoré dodávateľ dostane od PDS. </w:t>
      </w:r>
    </w:p>
    <w:p w14:paraId="000000FE"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Pri pochybnostiach o správnosti údajov určeného meradla môže odberateľ písomne požiadať dodávateľa o zabezpečenie jeho bezplatného preskúšania. Dodávateľ je povinný do 30 dní zabezpečiť preskúšanie určeného meradla. Ak sa na určenom meradle nezistila chyba, uhradí odberateľ náklady spojené s jeho preskúšaním a výmenou podľa platného cenníka služieb distribúcie príslušného PDS. </w:t>
      </w:r>
    </w:p>
    <w:p w14:paraId="000000FF"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bude priebežne vyhodnocovať minimálne 1x ročne priebeh spotreby elektrickej energie na jednotlivých odberných miestach a navrhne odberateľovi prípadné zmeny taríf a rezervovanej kapacity  elektrickej energie za účelom zníženia nákladov.</w:t>
      </w:r>
    </w:p>
    <w:p w14:paraId="00000100"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je povinný starať sa o určené meradlo tak, aby nedošlo k jeho poškodeniu alebo odcudzeniu a sleduje jeho riadny chod. Všetky poruchy na určenom meradle, vrátane porušenia zabezpečenia proti neoprávnenej manipulácii, ktoré Odberateľ zistí, je povinný bezodkladne ohlásiť Dodávateľovi.</w:t>
      </w:r>
    </w:p>
    <w:p w14:paraId="00000101"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Odberateľ sa zaväzuje umožniť prístup PDS k odbernému elektrickému zariadeniu a určenému meradlu v súlade s Prevádzkovým poriadkom a zákonom o energetike na účel vykonania kontroly, výmeny, odobratia určeného meradla alebo zistenia odobratého množstva elektrickej energie. </w:t>
      </w:r>
    </w:p>
    <w:p w14:paraId="00000102"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Dôvody výmeny určeného meradla môžu byť najmä: </w:t>
      </w:r>
    </w:p>
    <w:p w14:paraId="0000010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sz w:val="22"/>
          <w:szCs w:val="22"/>
        </w:rPr>
        <w:tab/>
        <w:t xml:space="preserve">výmena určeného meradla z dôvodu uplynutia času platnosti overenia; </w:t>
      </w:r>
    </w:p>
    <w:p w14:paraId="0000010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z w:val="22"/>
          <w:szCs w:val="22"/>
        </w:rPr>
        <w:tab/>
        <w:t xml:space="preserve">výmena určeného meradla pri požiadavke na preskúšanie určeného meradla; </w:t>
      </w:r>
    </w:p>
    <w:p w14:paraId="0000010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rPr>
        <w:tab/>
        <w:t xml:space="preserve">výmena určeného meradla z dôvodu poruchy na určenom meradle; </w:t>
      </w:r>
    </w:p>
    <w:p w14:paraId="00000106"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b/>
          <w:sz w:val="22"/>
          <w:szCs w:val="22"/>
        </w:rPr>
      </w:pPr>
      <w:r>
        <w:rPr>
          <w:rFonts w:ascii="Calibri" w:eastAsia="Calibri" w:hAnsi="Calibri" w:cs="Calibri"/>
          <w:sz w:val="22"/>
          <w:szCs w:val="22"/>
        </w:rPr>
        <w:t>d)</w:t>
      </w:r>
      <w:r>
        <w:rPr>
          <w:rFonts w:ascii="Calibri" w:eastAsia="Calibri" w:hAnsi="Calibri" w:cs="Calibri"/>
          <w:sz w:val="22"/>
          <w:szCs w:val="22"/>
        </w:rPr>
        <w:tab/>
        <w:t xml:space="preserve">výmena určeného meradla z dôvodu zmeny zmluvných podmienok. </w:t>
      </w:r>
    </w:p>
    <w:p w14:paraId="00000107"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78"/>
        <w:jc w:val="both"/>
      </w:pPr>
      <w:r>
        <w:rPr>
          <w:rFonts w:ascii="Calibri" w:eastAsia="Calibri" w:hAnsi="Calibri" w:cs="Calibri"/>
          <w:sz w:val="22"/>
          <w:szCs w:val="22"/>
        </w:rPr>
        <w:t xml:space="preserve">Odberateľ, ktorého odberné miesto je pripojené na napäťovú úroveň VN a u ktorého je odber elektrickej energie  meraný na sekundárnej strane transformátora a transformátor je jeho vlastníctvom, overí funkčnosť kompenzačného zariadenia transformátora na vlastné náklady a výsledky merania oznámi Dodávateľovi písomne na predpísanom formulári „Hlásenie o meraní statického kondenzátora“, ktorý je prístupný na internetovej stránke Dodávateľa, a to v týchto prípadoch: </w:t>
      </w:r>
    </w:p>
    <w:p w14:paraId="00000108"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sz w:val="22"/>
          <w:szCs w:val="22"/>
        </w:rPr>
        <w:tab/>
        <w:t xml:space="preserve">keď ide o nové odberné miesto najneskôr do 10 dní po pripojení, </w:t>
      </w:r>
    </w:p>
    <w:p w14:paraId="0000010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z w:val="22"/>
          <w:szCs w:val="22"/>
        </w:rPr>
        <w:tab/>
        <w:t xml:space="preserve">pri výmene transformátora najneskôr do 10 dní po výmene, </w:t>
      </w:r>
    </w:p>
    <w:p w14:paraId="0000010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rPr>
        <w:tab/>
        <w:t xml:space="preserve">ak o to Dodávateľ požiada najviac však jedenkrát za 12 mesiacov. </w:t>
      </w:r>
    </w:p>
    <w:p w14:paraId="0000010B"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Pokiaľ Odberateľ také hlásenie nepredloží, transformátor sa považuje za nevykompenzovaný a namerané hodnoty nie sú v súlade s hodnotami podľa príslušného rozhodnutia ÚRSO. Dodávateľ má potom právo na základe údajov poskytnutých od PDS pripočítať k nameranej jalovej spotrebe jalové transformačné straty v zmysle platného cenového rozhodnutia ÚRSO.</w:t>
      </w:r>
    </w:p>
    <w:p w14:paraId="0000010C"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10D"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10E"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t xml:space="preserve">     </w:t>
      </w:r>
      <w:r>
        <w:rPr>
          <w:rFonts w:ascii="Calibri" w:eastAsia="Calibri" w:hAnsi="Calibri" w:cs="Calibri"/>
          <w:b/>
          <w:sz w:val="22"/>
          <w:szCs w:val="22"/>
        </w:rPr>
        <w:t>VIII.</w:t>
      </w:r>
    </w:p>
    <w:p w14:paraId="0000010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67"/>
        </w:tabs>
        <w:jc w:val="center"/>
        <w:rPr>
          <w:rFonts w:ascii="Calibri" w:eastAsia="Calibri" w:hAnsi="Calibri" w:cs="Calibri"/>
          <w:b/>
          <w:sz w:val="22"/>
          <w:szCs w:val="22"/>
        </w:rPr>
      </w:pPr>
      <w:r>
        <w:rPr>
          <w:rFonts w:ascii="Calibri" w:eastAsia="Calibri" w:hAnsi="Calibri" w:cs="Calibri"/>
          <w:b/>
          <w:sz w:val="22"/>
          <w:szCs w:val="22"/>
        </w:rPr>
        <w:t>Platobné podmienky a fakturácia</w:t>
      </w:r>
    </w:p>
    <w:p w14:paraId="00000110" w14:textId="54221B40"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67"/>
        </w:tabs>
        <w:ind w:left="567" w:hanging="567"/>
        <w:jc w:val="both"/>
        <w:rPr>
          <w:rFonts w:ascii="Calibri" w:eastAsia="Calibri" w:hAnsi="Calibri" w:cs="Calibri"/>
          <w:b/>
          <w:sz w:val="22"/>
          <w:szCs w:val="22"/>
        </w:rPr>
      </w:pPr>
      <w:r>
        <w:rPr>
          <w:rFonts w:ascii="Calibri" w:eastAsia="Calibri" w:hAnsi="Calibri" w:cs="Calibri"/>
          <w:sz w:val="22"/>
          <w:szCs w:val="22"/>
        </w:rPr>
        <w:t>1.</w:t>
      </w:r>
      <w:r>
        <w:rPr>
          <w:rFonts w:ascii="Calibri" w:eastAsia="Calibri" w:hAnsi="Calibri" w:cs="Calibri"/>
          <w:sz w:val="22"/>
          <w:szCs w:val="22"/>
        </w:rPr>
        <w:tab/>
        <w:t>Dodávateľ v čase uzatvorenia zmluvy a počas obdobia jej trvania nesmie mať dlhy voči finančnej správe,  poisťovniam a ostatným orgánom štátnej správy a ich inštitúciám. Ak je zrejmé z verejne dostupných zdrojov, že dodávateľ má dlhy voči vyššie uvedeným inštitúciám je povinný na výzvu odberateľa predložiť potvrdenie príslušnej inštitúcie o zaplatení predmetných dlhov i (odklad povinnosti platenia voči štátu, poisťovniam a ostatným orgánom štátnej správy (napr. daň, poistné...) sa nepovažuje za splnenie podmienky uvedenej v prvej vete tohto bodu).</w:t>
      </w:r>
    </w:p>
    <w:p w14:paraId="00000111" w14:textId="77777777" w:rsidR="00474B94" w:rsidRDefault="007952C8">
      <w:pPr>
        <w:numPr>
          <w:ilvl w:val="0"/>
          <w:numId w:val="12"/>
        </w:numPr>
        <w:pBdr>
          <w:top w:val="none" w:sz="0" w:space="0" w:color="000000"/>
          <w:left w:val="none" w:sz="0" w:space="0" w:color="000000"/>
          <w:bottom w:val="none" w:sz="0" w:space="0" w:color="000000"/>
          <w:right w:val="none" w:sz="0" w:space="0" w:color="000000"/>
          <w:between w:val="none" w:sz="0" w:space="0" w:color="000000"/>
        </w:pBdr>
        <w:ind w:left="567" w:hanging="578"/>
        <w:jc w:val="both"/>
      </w:pPr>
      <w:r>
        <w:rPr>
          <w:rFonts w:ascii="Calibri" w:eastAsia="Calibri" w:hAnsi="Calibri" w:cs="Calibri"/>
          <w:sz w:val="22"/>
          <w:szCs w:val="22"/>
          <w:u w:val="single"/>
        </w:rPr>
        <w:t>Platobné podmienky a fakturácia pre maloodber aj veľkoodber s mesačnou fakturáciou</w:t>
      </w:r>
    </w:p>
    <w:p w14:paraId="0000011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2.1. Vyúčtovanie dodávky elektrickej energie a dohodnutých distribučných služieb, ktoré sú predmetom Zmluvy, sa vykonáva na základe výsledkov meraní skutočne dodanej elektrickej energie k poslednému dňu príslušného kalendárneho mesiaca.</w:t>
      </w:r>
    </w:p>
    <w:p w14:paraId="0000011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2.2. Vyúčtovacie faktúry budú doručené odberateľovi do 15. dňa mesiaca nasledujúceho po kalendárnom mesiaci, za ktorý je faktúra vystavená, poštou na adresu odberateľa so zohľadnením preddavkových platieb.</w:t>
      </w:r>
    </w:p>
    <w:p w14:paraId="0000011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2.3. Vyúčtovaciu faktúru za dodávku elektrickej energie a distribučné služby je dodávateľ oprávnený vyhotoviť v prípade ukončení odberu, preradení do iného odpočtového cyklu zo strany PDS napr. po montáži IMS, v iných prípadoch len na základe vzájomnej dohody. Vyúčtovacia faktúra bude vystavená a doručená podľa čl. VIII. bod 2.8. a bod 2.10.  Zmluvy a bude obsahovať za každé odberné miesto minimálne:</w:t>
      </w:r>
    </w:p>
    <w:p w14:paraId="00000115" w14:textId="3CF46358"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číslo zmluvy, resp. objednávky</w:t>
      </w:r>
      <w:r w:rsidR="00FC1177">
        <w:rPr>
          <w:rFonts w:ascii="Calibri" w:eastAsia="Calibri" w:hAnsi="Calibri" w:cs="Calibri"/>
          <w:sz w:val="22"/>
          <w:szCs w:val="22"/>
        </w:rPr>
        <w:t>,</w:t>
      </w:r>
    </w:p>
    <w:p w14:paraId="00000116"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skutočnú spotrebu,</w:t>
      </w:r>
    </w:p>
    <w:p w14:paraId="00000117"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identifikáciu odberných miest,</w:t>
      </w:r>
    </w:p>
    <w:p w14:paraId="00000118"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počiatočný a konečný stav elektromeru,</w:t>
      </w:r>
    </w:p>
    <w:p w14:paraId="00000119"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fakturované položky za dodávku silovej energie, za distribúciu a regulované položky,</w:t>
      </w:r>
    </w:p>
    <w:p w14:paraId="0000011A"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sumár spotreby a ceny za každé odberné miesto osobitne,</w:t>
      </w:r>
    </w:p>
    <w:p w14:paraId="0000011B" w14:textId="5FAC6DED"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vyhodnotenie ďalších technických ukazovateľov odberu (namerané ¼ hod. maximum, cos fí, resp. tg fí a ďalšie)</w:t>
      </w:r>
      <w:r w:rsidR="00A62B92">
        <w:rPr>
          <w:rFonts w:ascii="Calibri" w:eastAsia="Calibri" w:hAnsi="Calibri" w:cs="Calibri"/>
          <w:sz w:val="22"/>
          <w:szCs w:val="22"/>
        </w:rPr>
        <w:t>,</w:t>
      </w:r>
    </w:p>
    <w:p w14:paraId="0000011C" w14:textId="76970655"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dátum splatnosti</w:t>
      </w:r>
      <w:r w:rsidR="00A62B92">
        <w:rPr>
          <w:rFonts w:ascii="Calibri" w:eastAsia="Calibri" w:hAnsi="Calibri" w:cs="Calibri"/>
          <w:sz w:val="22"/>
          <w:szCs w:val="22"/>
        </w:rPr>
        <w:t>,</w:t>
      </w:r>
    </w:p>
    <w:p w14:paraId="0000011D" w14:textId="4EF7D414"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označenie peňažného ústavu a čísla účtu, na ktorý je potrebné realizovať úhradu</w:t>
      </w:r>
      <w:r w:rsidR="00A62B92">
        <w:rPr>
          <w:rFonts w:ascii="Calibri" w:eastAsia="Calibri" w:hAnsi="Calibri" w:cs="Calibri"/>
          <w:sz w:val="22"/>
          <w:szCs w:val="22"/>
        </w:rPr>
        <w:t>,</w:t>
      </w:r>
    </w:p>
    <w:p w14:paraId="0000011F" w14:textId="3624C24E" w:rsidR="00474B94" w:rsidRPr="00A62B92" w:rsidRDefault="007952C8" w:rsidP="00BC48C3">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rPr>
          <w:rFonts w:ascii="Calibri" w:eastAsia="Calibri" w:hAnsi="Calibri" w:cs="Calibri"/>
          <w:sz w:val="22"/>
          <w:szCs w:val="22"/>
        </w:rPr>
      </w:pPr>
      <w:r>
        <w:rPr>
          <w:rFonts w:ascii="Calibri" w:eastAsia="Calibri" w:hAnsi="Calibri" w:cs="Calibri"/>
          <w:sz w:val="22"/>
          <w:szCs w:val="22"/>
        </w:rPr>
        <w:t>variabilný symbol</w:t>
      </w:r>
      <w:r w:rsidR="00A62B92">
        <w:rPr>
          <w:rFonts w:ascii="Calibri" w:eastAsia="Calibri" w:hAnsi="Calibri" w:cs="Calibri"/>
          <w:sz w:val="22"/>
          <w:szCs w:val="22"/>
        </w:rPr>
        <w:t>.</w:t>
      </w:r>
    </w:p>
    <w:p w14:paraId="0000012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2.4. </w:t>
      </w:r>
      <w:r>
        <w:rPr>
          <w:rFonts w:ascii="Calibri" w:eastAsia="Calibri" w:hAnsi="Calibri" w:cs="Calibri"/>
          <w:sz w:val="22"/>
          <w:szCs w:val="22"/>
        </w:rPr>
        <w:tab/>
        <w:t>Úhrady uskutočňuje odberateľ bezhotovostným platobným stykom na účet dodávateľa uvedenom v záhlaví Zmluvy. Odberateľ bude v platobnom styku používať variabilný symbol uvedený v príslušnej faktúre.</w:t>
      </w:r>
    </w:p>
    <w:p w14:paraId="00000121" w14:textId="3B3F0D9E"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2.5.</w:t>
      </w:r>
      <w:r>
        <w:rPr>
          <w:rFonts w:ascii="Calibri" w:eastAsia="Calibri" w:hAnsi="Calibri" w:cs="Calibri"/>
          <w:sz w:val="22"/>
          <w:szCs w:val="22"/>
        </w:rPr>
        <w:tab/>
        <w:t>Splatnosť vyúčtovacej faktúry a faktúry za opakované dodávky je 30 kalendárnych dní od dátumu jej doručenia odberateľovi. Ak pripadne deň splatnosti na deň pracovného voľna, dňom splatnosti je najbližší nasledujúci pracovný deň.</w:t>
      </w:r>
    </w:p>
    <w:p w14:paraId="0000012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2.6. </w:t>
      </w:r>
      <w:r>
        <w:rPr>
          <w:rFonts w:ascii="Calibri" w:eastAsia="Calibri" w:hAnsi="Calibri" w:cs="Calibri"/>
          <w:sz w:val="22"/>
          <w:szCs w:val="22"/>
        </w:rPr>
        <w:tab/>
        <w:t>Úhradou sa rozumie odpísanie sumy z účtu odberateľa s uvedením správneho variabilného symbolu uvedeného na faktúre.</w:t>
      </w:r>
    </w:p>
    <w:p w14:paraId="0000012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2.7. </w:t>
      </w:r>
      <w:r>
        <w:rPr>
          <w:rFonts w:ascii="Calibri" w:eastAsia="Calibri" w:hAnsi="Calibri" w:cs="Calibri"/>
          <w:sz w:val="22"/>
          <w:szCs w:val="22"/>
        </w:rPr>
        <w:tab/>
        <w:t>Ak Odberateľ neuhradí faktúru v lehote splatnosti, dodávateľ odberateľovi zašle bezplatne písomnú upomienku, v ktorej označí deň vystavenia faktúry, jej splatnosť a celkovú čiastku po lehote splatnosti.</w:t>
      </w:r>
    </w:p>
    <w:p w14:paraId="00000124" w14:textId="259F2B6E"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2.8. </w:t>
      </w:r>
      <w:r>
        <w:rPr>
          <w:rFonts w:ascii="Calibri" w:eastAsia="Calibri" w:hAnsi="Calibri" w:cs="Calibri"/>
          <w:sz w:val="22"/>
          <w:szCs w:val="22"/>
        </w:rPr>
        <w:tab/>
        <w:t>Dodávateľ je povinný zasielať faktúry prostredníctvom držiteľa poštovej licencie na adresu odberateľa a/alebo  elektronicky</w:t>
      </w:r>
      <w:r w:rsidR="008702BD">
        <w:rPr>
          <w:rFonts w:ascii="Calibri" w:eastAsia="Calibri" w:hAnsi="Calibri" w:cs="Calibri"/>
          <w:sz w:val="22"/>
          <w:szCs w:val="22"/>
        </w:rPr>
        <w:t>: faktury@pvpsas.sk</w:t>
      </w:r>
    </w:p>
    <w:p w14:paraId="0000012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rPr>
          <w:rFonts w:ascii="Calibri" w:eastAsia="Calibri" w:hAnsi="Calibri" w:cs="Calibri"/>
          <w:sz w:val="22"/>
          <w:szCs w:val="22"/>
        </w:rPr>
      </w:pPr>
      <w:r>
        <w:rPr>
          <w:rFonts w:ascii="Calibri" w:eastAsia="Calibri" w:hAnsi="Calibri" w:cs="Calibri"/>
          <w:sz w:val="22"/>
          <w:szCs w:val="22"/>
        </w:rPr>
        <w:t xml:space="preserve">2.9. </w:t>
      </w:r>
      <w:r>
        <w:rPr>
          <w:rFonts w:ascii="Calibri" w:eastAsia="Calibri" w:hAnsi="Calibri" w:cs="Calibri"/>
          <w:sz w:val="22"/>
          <w:szCs w:val="22"/>
        </w:rPr>
        <w:tab/>
        <w:t>Zmenu bankového spojenia a čísla účtu zmluvných strán bude možno uskutočniť iba písomným oznámením jednej zmluvnej strany preukázateľne doručeným druhej zmluvnej strane najneskôr spolu s príslušnou faktúrou, resp. pred doručením vyúčtovacej faktúry.</w:t>
      </w:r>
    </w:p>
    <w:p w14:paraId="00000126"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2.10. Dodávateľ zabezpečí vyhotovenie združených faktúr podľa začlenenia odberných miest do organizačných zložiek odberateľa (zvlášť závody a hospodárske strediská GR podľa Prílohy č. 1) so zohľadnením kategórie odberného miesta a fakturačného obdobia. </w:t>
      </w:r>
    </w:p>
    <w:p w14:paraId="00000127"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2.11. Fakturačné obdobie vyúčtovacej faktúry vzťahujúce sa k príslušnému OM je uvedené v Prílohe č. 1 tejto zmluvy.</w:t>
      </w:r>
    </w:p>
    <w:p w14:paraId="0000012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ind w:left="1134"/>
        <w:jc w:val="both"/>
        <w:rPr>
          <w:rFonts w:ascii="Calibri" w:eastAsia="Calibri" w:hAnsi="Calibri" w:cs="Calibri"/>
          <w:sz w:val="22"/>
          <w:szCs w:val="22"/>
          <w:u w:val="single"/>
        </w:rPr>
      </w:pPr>
    </w:p>
    <w:p w14:paraId="00000129" w14:textId="77777777" w:rsidR="00474B94" w:rsidRDefault="007952C8">
      <w:pPr>
        <w:numPr>
          <w:ilvl w:val="0"/>
          <w:numId w:val="1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u w:val="single"/>
        </w:rPr>
        <w:t>Platobné podmienky a fakturácia pre maloodber s ročnou fakturáciou.</w:t>
      </w:r>
    </w:p>
    <w:p w14:paraId="0000012A" w14:textId="15D1BF7F"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 xml:space="preserve">3.1. Pre odberné miesta s ročnou fakturáciou budú fakturované opakované dodávky vo výške 85% z predpokladanej spotreby za daný kalendárny mesiac s dátumom splatnosti </w:t>
      </w:r>
      <w:r w:rsidR="00F4176F" w:rsidRPr="00BC48C3">
        <w:rPr>
          <w:rFonts w:ascii="Calibri" w:eastAsia="Calibri" w:hAnsi="Calibri" w:cs="Calibri"/>
          <w:b/>
          <w:sz w:val="22"/>
          <w:szCs w:val="22"/>
        </w:rPr>
        <w:t>30</w:t>
      </w:r>
      <w:r>
        <w:rPr>
          <w:rFonts w:ascii="Calibri" w:eastAsia="Calibri" w:hAnsi="Calibri" w:cs="Calibri"/>
          <w:sz w:val="22"/>
          <w:szCs w:val="22"/>
        </w:rPr>
        <w:t xml:space="preserve"> kalendárnych dní od dátumu vystavenia.</w:t>
      </w:r>
    </w:p>
    <w:p w14:paraId="0000012B"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3.2. Faktúry za opakované dodávky sa vystavujú spoločne za dodávku elektrickej energie a distribučné služby tak, aby obsahovali minimálne:</w:t>
      </w:r>
    </w:p>
    <w:p w14:paraId="0000012C" w14:textId="0E189E6D" w:rsidR="00474B94" w:rsidRDefault="007952C8">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pPr>
      <w:r>
        <w:rPr>
          <w:rFonts w:ascii="Calibri" w:eastAsia="Calibri" w:hAnsi="Calibri" w:cs="Calibri"/>
          <w:sz w:val="22"/>
          <w:szCs w:val="22"/>
        </w:rPr>
        <w:t>číslo zmluvy, resp. objednávky</w:t>
      </w:r>
      <w:r w:rsidR="00A62B92">
        <w:rPr>
          <w:rFonts w:ascii="Calibri" w:eastAsia="Calibri" w:hAnsi="Calibri" w:cs="Calibri"/>
          <w:sz w:val="22"/>
          <w:szCs w:val="22"/>
        </w:rPr>
        <w:t>,</w:t>
      </w:r>
    </w:p>
    <w:p w14:paraId="0000012D" w14:textId="5AA500F7" w:rsidR="00474B94" w:rsidRDefault="007952C8">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pPr>
      <w:r>
        <w:rPr>
          <w:rFonts w:ascii="Calibri" w:eastAsia="Calibri" w:hAnsi="Calibri" w:cs="Calibri"/>
          <w:sz w:val="22"/>
          <w:szCs w:val="22"/>
        </w:rPr>
        <w:t>zoznam odberných miest</w:t>
      </w:r>
      <w:r w:rsidR="00A62B92">
        <w:rPr>
          <w:rFonts w:ascii="Calibri" w:eastAsia="Calibri" w:hAnsi="Calibri" w:cs="Calibri"/>
          <w:sz w:val="22"/>
          <w:szCs w:val="22"/>
        </w:rPr>
        <w:t>,</w:t>
      </w:r>
    </w:p>
    <w:p w14:paraId="0000012E" w14:textId="70D1CD9D" w:rsidR="00474B94" w:rsidRDefault="007952C8">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pPr>
      <w:r>
        <w:rPr>
          <w:rFonts w:ascii="Calibri" w:eastAsia="Calibri" w:hAnsi="Calibri" w:cs="Calibri"/>
          <w:sz w:val="22"/>
          <w:szCs w:val="22"/>
        </w:rPr>
        <w:t>dátum splatnosti</w:t>
      </w:r>
      <w:r w:rsidR="00A62B92">
        <w:rPr>
          <w:rFonts w:ascii="Calibri" w:eastAsia="Calibri" w:hAnsi="Calibri" w:cs="Calibri"/>
          <w:sz w:val="22"/>
          <w:szCs w:val="22"/>
        </w:rPr>
        <w:t>,</w:t>
      </w:r>
    </w:p>
    <w:p w14:paraId="0000012F" w14:textId="6651F21A" w:rsidR="00474B94" w:rsidRDefault="007952C8">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pPr>
      <w:r>
        <w:rPr>
          <w:rFonts w:ascii="Calibri" w:eastAsia="Calibri" w:hAnsi="Calibri" w:cs="Calibri"/>
          <w:sz w:val="22"/>
          <w:szCs w:val="22"/>
        </w:rPr>
        <w:t>označenie peňažného ústavu a čísla účtu, na ktorý je potrebné realizovať úhradu</w:t>
      </w:r>
      <w:r w:rsidR="00A62B92">
        <w:rPr>
          <w:rFonts w:ascii="Calibri" w:eastAsia="Calibri" w:hAnsi="Calibri" w:cs="Calibri"/>
          <w:sz w:val="22"/>
          <w:szCs w:val="22"/>
        </w:rPr>
        <w:t>,</w:t>
      </w:r>
    </w:p>
    <w:p w14:paraId="00000131" w14:textId="70C1B2CC" w:rsidR="00474B94" w:rsidRPr="00A62B92" w:rsidRDefault="007952C8" w:rsidP="00BC48C3">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rPr>
          <w:rFonts w:ascii="Calibri" w:eastAsia="Calibri" w:hAnsi="Calibri" w:cs="Calibri"/>
          <w:sz w:val="22"/>
          <w:szCs w:val="22"/>
        </w:rPr>
      </w:pPr>
      <w:r>
        <w:rPr>
          <w:rFonts w:ascii="Calibri" w:eastAsia="Calibri" w:hAnsi="Calibri" w:cs="Calibri"/>
          <w:sz w:val="22"/>
          <w:szCs w:val="22"/>
        </w:rPr>
        <w:t>Variabilný symbol</w:t>
      </w:r>
      <w:r w:rsidR="00A62B92">
        <w:rPr>
          <w:rFonts w:ascii="Calibri" w:eastAsia="Calibri" w:hAnsi="Calibri" w:cs="Calibri"/>
          <w:sz w:val="22"/>
          <w:szCs w:val="22"/>
        </w:rPr>
        <w:t>.</w:t>
      </w:r>
    </w:p>
    <w:p w14:paraId="0000013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3.3. Vyúčtovanie dodávky elektrickej energie a dohodnutých distribučných služieb, ktoré sú predmetom Zmluvy, sa vykonáva na základe výsledkov meraní skutočne dodanej elektrickej energie k poslednému dňu príslušného kalendárneho roka. Vyúčtovacia faktúra za predchádzajúci kalendárny rok bude odberateľovi doručená do 15. januára nasledujúceho roka.</w:t>
      </w:r>
    </w:p>
    <w:p w14:paraId="0000013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3.4. Vo vyúčtovacej faktúre za združenú dodávku elektrickej energie a distribučné služby sa odpočítajú platby, ktoré boli odberateľom uhradené dodávateľovi za príslušný kalendárny rok. Vyúčtovaciu faktúru za dodávku elektrickej energie a distribučné služby je dodávateľ oprávnený vyhotoviť v prípade ukončení odberu, preradení do iného odpočtového cyklu zo strany PDS napr. po montáži IMS, v iných prípadoch len na základe vzájomnej dohody. Vyúčtovacia faktúra bude vystavená a doručená podľa čl. VIII. bod 2.8. a bod 2.10. Zmluvy a bude obsahovať za každé odberné miesto minimálne:</w:t>
      </w:r>
    </w:p>
    <w:p w14:paraId="00000134" w14:textId="4B23A173"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číslo zmluvy, resp. objednávky</w:t>
      </w:r>
      <w:r w:rsidR="00A62B92">
        <w:rPr>
          <w:rFonts w:ascii="Calibri" w:eastAsia="Calibri" w:hAnsi="Calibri" w:cs="Calibri"/>
          <w:sz w:val="22"/>
          <w:szCs w:val="22"/>
        </w:rPr>
        <w:t>,</w:t>
      </w:r>
    </w:p>
    <w:p w14:paraId="00000135"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skutočnú spotrebu,</w:t>
      </w:r>
    </w:p>
    <w:p w14:paraId="00000136"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identifikáciu odberných miest,</w:t>
      </w:r>
    </w:p>
    <w:p w14:paraId="00000137"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počiatočný a konečný stav elektromeru,</w:t>
      </w:r>
    </w:p>
    <w:p w14:paraId="00000138"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fakturované položky za dodávku silovej energie, za distribúciu a regulované položky,</w:t>
      </w:r>
    </w:p>
    <w:p w14:paraId="00000139"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sumár spotreby a ceny za každé odberné miesto osobitne,</w:t>
      </w:r>
    </w:p>
    <w:p w14:paraId="0000013A" w14:textId="15951860"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vyhodnotenie ďalších technických ukazovateľov odberu (namerané ¼ hod. maximum, cos fí, resp. tg fí a ďalšie)</w:t>
      </w:r>
      <w:r w:rsidR="00A62B92">
        <w:rPr>
          <w:rFonts w:ascii="Calibri" w:eastAsia="Calibri" w:hAnsi="Calibri" w:cs="Calibri"/>
          <w:sz w:val="22"/>
          <w:szCs w:val="22"/>
        </w:rPr>
        <w:t>,</w:t>
      </w:r>
    </w:p>
    <w:p w14:paraId="0000013B" w14:textId="63BBBE31"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dátum splatnosti</w:t>
      </w:r>
      <w:r w:rsidR="00A62B92">
        <w:rPr>
          <w:rFonts w:ascii="Calibri" w:eastAsia="Calibri" w:hAnsi="Calibri" w:cs="Calibri"/>
          <w:sz w:val="22"/>
          <w:szCs w:val="22"/>
        </w:rPr>
        <w:t>,</w:t>
      </w:r>
    </w:p>
    <w:p w14:paraId="0000013C" w14:textId="42B20D20"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označenie peňažného ústavu a čísla účtu, na ktorý je potrebné realizovať úhradu</w:t>
      </w:r>
      <w:r w:rsidR="00A62B92">
        <w:rPr>
          <w:rFonts w:ascii="Calibri" w:eastAsia="Calibri" w:hAnsi="Calibri" w:cs="Calibri"/>
          <w:sz w:val="22"/>
          <w:szCs w:val="22"/>
        </w:rPr>
        <w:t>,</w:t>
      </w:r>
    </w:p>
    <w:p w14:paraId="0000013D" w14:textId="6469A83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 xml:space="preserve"> variabilný symbol</w:t>
      </w:r>
      <w:r w:rsidR="00A62B92">
        <w:rPr>
          <w:rFonts w:ascii="Calibri" w:eastAsia="Calibri" w:hAnsi="Calibri" w:cs="Calibri"/>
          <w:sz w:val="22"/>
          <w:szCs w:val="22"/>
        </w:rPr>
        <w:t>.</w:t>
      </w:r>
    </w:p>
    <w:p w14:paraId="0000013E"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ind w:left="1353" w:hanging="360"/>
        <w:jc w:val="both"/>
        <w:rPr>
          <w:rFonts w:ascii="Calibri" w:eastAsia="Calibri" w:hAnsi="Calibri" w:cs="Calibri"/>
          <w:sz w:val="22"/>
          <w:szCs w:val="22"/>
        </w:rPr>
      </w:pPr>
    </w:p>
    <w:p w14:paraId="0000013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IX.</w:t>
      </w:r>
    </w:p>
    <w:p w14:paraId="0000014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Zmluvné pokuty, sankcie a náhrada škody</w:t>
      </w:r>
    </w:p>
    <w:p w14:paraId="00000141"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oprávnený účtovať odberateľovi úroky z omeškania vo výške 0,01 % z dlžnej sumy za každý deň omeškania, ak je odberateľ v omeškaní s úhradou faktúry vyplývajúcej z tejto zmluvy.</w:t>
      </w:r>
    </w:p>
    <w:p w14:paraId="00000142"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Ak poruší niektorá zo zmluvných strán povinnosti vyplývajúce zo zmluvy, má poškodená zmluvná strana právo na náhradu preukázateľne vzniknutej škody (skutočnej škody a straty zisku), vrátane prípadov, keď škody boli spôsobené obmedzením alebo prerušením dodávky elektrickej energie a distribučných služieb, to neplatí ak obmedzenie alebo prerušenie dodávky elektrickej energie je v súlade s príslušnými všeobecne záväznými predpismi (napr. zákonom o energetike) a zmluvou alebo okolnosťami vylučujúcimi zodpovednosť podľa § 374 Obchodného zákonníka. Dodávateľ zodpovedá za škody, ktoré odberateľovi vzniknú v dôsledku prerušenia distribúcie elektriny do jeho odberných miest len v prípade, pokiaľ k prerušeniu distribúcie došlo v dôsledku porušenia zmluvy, alebo platných právnych predpisov zo strany dodávateľa.</w:t>
      </w:r>
    </w:p>
    <w:p w14:paraId="00000143"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a dodávateľ sa budú navzájom informovať o všetkých skutočnostiach, pri ktorých predpokladajú, že by mohli viesť k škodám a usilovať sa prípadné škody odvrátiť.</w:t>
      </w:r>
    </w:p>
    <w:p w14:paraId="00000144" w14:textId="51F536C4"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ak je dodávateľ v omeškaní s vybavením reklamácie, odberateľ má právo požadovať zaplatenie zmluvnej pokuty vo výške 0,01 % za každý deň omeškania z fakturovanej ceny plnenia, ku ktorému sa reklamácia vzťahuje. Uvedené neplatí, ak sa na omeškanie vzťahuje kompenzačná platba v súlade s vyhláškou Úradu pre reguláciu sieťových odvetví č. 236/2016 Z. z.</w:t>
      </w:r>
    </w:p>
    <w:p w14:paraId="00000145"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dohodli, že v prípade nesplnenia povinnosti dodávateľa dodať predmet zmluvy v požadovanom rozsahu a/alebo v dojednanej cene a/alebo v dojednanej kvalite a/alebo akosti a/alebo vyhotovení, má odberateľ právo uplatniť u dodávateľa zmluvnú pokutu vo výške 1 % z fakturovanej ceny plnenia za kalendárny rok. Uvedené neplatí, ak sa tento prípad vzťahuje kompenzačná platba v súlade s vyhláškou Úradu pre reguláciu sieťových odvetví č. 236/2016 Z. z.</w:t>
      </w:r>
    </w:p>
    <w:p w14:paraId="00000146"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ak dodávateľ neposkytuje službu v súlade s povinnosťami uvedenými v článku X. tejto zmluvy, odberateľ má právo požadovať zaplatenie zmluvnej pokuty vo výške 1 % z fakturovanej ceny plnenia, ku ktorému sa poskytnutie danej služby vzťahuje, a to za každý deň omeškania čo i len jednej povinnosti.</w:t>
      </w:r>
    </w:p>
    <w:p w14:paraId="00000147" w14:textId="0D1CBF2D"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Uplatnením zmluvnej pokuty nie je dotknutý nárok na náhradu škody spôsobenej porušením zmluvných povinností. V prípade, ak bude odberateľ odkázaný na dodávateľa poslednej inštancie, odberateľ si bude nárokovať škodu, ktorá bude predstavovať rozdiel medzi zmluvnou cenou elektriny a cenou, ktorú bude odberateľ platiť dodávateľovi poslednej inštancie.</w:t>
      </w:r>
    </w:p>
    <w:p w14:paraId="00000148"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Ak dôjde k úniku informácií, ktoré majú charakter dôverných informácií alebo obchodného tajomstva z dôvodov, za ktoré zodpovedá dodávateľ alebo odberateľ alebo ak dodávateľ alebo odberateľ poruší povinnosť stanovenú v článku XIII. tejto zmluvy, je dodávateľ alebo odberateľ povinný nahradiť druhej zmluvnej strane vzniknutú škodu.</w:t>
      </w:r>
    </w:p>
    <w:p w14:paraId="00000149" w14:textId="0AB9BCB9" w:rsidR="00474B94" w:rsidRDefault="00474B94">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p>
    <w:p w14:paraId="0000014A"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p>
    <w:p w14:paraId="0000014B"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67"/>
        </w:tabs>
        <w:ind w:left="567" w:hanging="567"/>
        <w:jc w:val="center"/>
        <w:rPr>
          <w:rFonts w:ascii="Calibri" w:eastAsia="Calibri" w:hAnsi="Calibri" w:cs="Calibri"/>
          <w:b/>
          <w:sz w:val="22"/>
          <w:szCs w:val="22"/>
        </w:rPr>
      </w:pPr>
      <w:r>
        <w:rPr>
          <w:rFonts w:ascii="Calibri" w:eastAsia="Calibri" w:hAnsi="Calibri" w:cs="Calibri"/>
          <w:b/>
          <w:sz w:val="22"/>
          <w:szCs w:val="22"/>
        </w:rPr>
        <w:t>X.</w:t>
      </w:r>
    </w:p>
    <w:p w14:paraId="0000014C"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67"/>
        </w:tabs>
        <w:ind w:left="567" w:hanging="567"/>
        <w:jc w:val="center"/>
        <w:rPr>
          <w:rFonts w:ascii="Calibri" w:eastAsia="Calibri" w:hAnsi="Calibri" w:cs="Calibri"/>
          <w:b/>
          <w:sz w:val="22"/>
          <w:szCs w:val="22"/>
        </w:rPr>
      </w:pPr>
      <w:r>
        <w:rPr>
          <w:rFonts w:ascii="Calibri" w:eastAsia="Calibri" w:hAnsi="Calibri" w:cs="Calibri"/>
          <w:b/>
          <w:sz w:val="22"/>
          <w:szCs w:val="22"/>
        </w:rPr>
        <w:t>Povinnosti dodávateľa</w:t>
      </w:r>
    </w:p>
    <w:p w14:paraId="0000014D"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odberateľovi dodať/poskytnúť/sprístupniť:</w:t>
      </w:r>
    </w:p>
    <w:p w14:paraId="0000014E" w14:textId="6EF88BB9" w:rsidR="00474B94"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elektronický zákaznícky portál so zabezpečeným prístupom, ktorý umožní:</w:t>
      </w:r>
    </w:p>
    <w:p w14:paraId="0000014F" w14:textId="77777777" w:rsidR="00474B94" w:rsidRDefault="007952C8">
      <w:pPr>
        <w:numPr>
          <w:ilvl w:val="0"/>
          <w:numId w:val="28"/>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elektronickú službu s možnosťou prezerania opisov faktúr a sledovania úhrad faktúr v reálnom čase,</w:t>
      </w:r>
    </w:p>
    <w:p w14:paraId="00000150" w14:textId="77777777" w:rsidR="00474B94" w:rsidRDefault="007952C8">
      <w:pPr>
        <w:numPr>
          <w:ilvl w:val="0"/>
          <w:numId w:val="28"/>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elektronickú službu poskytujúcu grafické a dátové údaje o spotrebe a porovnanie spotreby</w:t>
      </w:r>
    </w:p>
    <w:p w14:paraId="00000151" w14:textId="77777777" w:rsidR="00474B94" w:rsidRDefault="007952C8">
      <w:pPr>
        <w:numPr>
          <w:ilvl w:val="0"/>
          <w:numId w:val="28"/>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elektronickú službu umožňujúcu vytvoriť sekundárne prístupy s nastavením individuálnych práv  pre viacerých užívateľov</w:t>
      </w:r>
    </w:p>
    <w:p w14:paraId="00000152" w14:textId="77777777" w:rsidR="00474B94" w:rsidRDefault="007952C8">
      <w:pPr>
        <w:numPr>
          <w:ilvl w:val="0"/>
          <w:numId w:val="28"/>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elektronickú službu zabezpečujúcu zadávanie, evidenciu a správu požiadaviek odberateľa, ktorá obsahuje minimálne:</w:t>
      </w:r>
    </w:p>
    <w:p w14:paraId="00000153" w14:textId="77777777" w:rsidR="00474B94" w:rsidRDefault="007952C8">
      <w:pPr>
        <w:numPr>
          <w:ilvl w:val="0"/>
          <w:numId w:val="27"/>
        </w:numPr>
        <w:pBdr>
          <w:top w:val="none" w:sz="0" w:space="0" w:color="000000"/>
          <w:left w:val="none" w:sz="0" w:space="0" w:color="000000"/>
          <w:bottom w:val="none" w:sz="0" w:space="0" w:color="000000"/>
          <w:right w:val="none" w:sz="0" w:space="0" w:color="000000"/>
          <w:between w:val="none" w:sz="0" w:space="0" w:color="000000"/>
        </w:pBdr>
        <w:ind w:left="1701" w:hanging="283"/>
        <w:jc w:val="both"/>
      </w:pPr>
      <w:r>
        <w:rPr>
          <w:rFonts w:ascii="Calibri" w:eastAsia="Calibri" w:hAnsi="Calibri" w:cs="Calibri"/>
          <w:sz w:val="22"/>
          <w:szCs w:val="22"/>
        </w:rPr>
        <w:t>On-line komunikáciu</w:t>
      </w:r>
    </w:p>
    <w:p w14:paraId="00000154" w14:textId="77777777" w:rsidR="00474B94" w:rsidRDefault="007952C8">
      <w:pPr>
        <w:numPr>
          <w:ilvl w:val="0"/>
          <w:numId w:val="27"/>
        </w:numPr>
        <w:pBdr>
          <w:top w:val="none" w:sz="0" w:space="0" w:color="000000"/>
          <w:left w:val="none" w:sz="0" w:space="0" w:color="000000"/>
          <w:bottom w:val="none" w:sz="0" w:space="0" w:color="000000"/>
          <w:right w:val="none" w:sz="0" w:space="0" w:color="000000"/>
          <w:between w:val="none" w:sz="0" w:space="0" w:color="000000"/>
        </w:pBdr>
        <w:ind w:left="1701" w:hanging="283"/>
        <w:jc w:val="both"/>
      </w:pPr>
      <w:r>
        <w:rPr>
          <w:rFonts w:ascii="Calibri" w:eastAsia="Calibri" w:hAnsi="Calibri" w:cs="Calibri"/>
          <w:sz w:val="22"/>
          <w:szCs w:val="22"/>
        </w:rPr>
        <w:t>Možnosť priloženia príloh k požiadavke</w:t>
      </w:r>
    </w:p>
    <w:p w14:paraId="00000155" w14:textId="77777777" w:rsidR="00474B94" w:rsidRDefault="007952C8">
      <w:pPr>
        <w:numPr>
          <w:ilvl w:val="0"/>
          <w:numId w:val="27"/>
        </w:numPr>
        <w:pBdr>
          <w:top w:val="none" w:sz="0" w:space="0" w:color="000000"/>
          <w:left w:val="none" w:sz="0" w:space="0" w:color="000000"/>
          <w:bottom w:val="none" w:sz="0" w:space="0" w:color="000000"/>
          <w:right w:val="none" w:sz="0" w:space="0" w:color="000000"/>
          <w:between w:val="none" w:sz="0" w:space="0" w:color="000000"/>
        </w:pBdr>
        <w:ind w:left="1701" w:hanging="283"/>
        <w:jc w:val="both"/>
      </w:pPr>
      <w:r>
        <w:rPr>
          <w:rFonts w:ascii="Calibri" w:eastAsia="Calibri" w:hAnsi="Calibri" w:cs="Calibri"/>
          <w:sz w:val="22"/>
          <w:szCs w:val="22"/>
        </w:rPr>
        <w:t>Notifikáciu stavu požiadavky</w:t>
      </w:r>
    </w:p>
    <w:p w14:paraId="00000156" w14:textId="77777777" w:rsidR="00474B94" w:rsidRDefault="007952C8">
      <w:pPr>
        <w:numPr>
          <w:ilvl w:val="0"/>
          <w:numId w:val="27"/>
        </w:numPr>
        <w:pBdr>
          <w:top w:val="none" w:sz="0" w:space="0" w:color="000000"/>
          <w:left w:val="none" w:sz="0" w:space="0" w:color="000000"/>
          <w:bottom w:val="none" w:sz="0" w:space="0" w:color="000000"/>
          <w:right w:val="none" w:sz="0" w:space="0" w:color="000000"/>
          <w:between w:val="none" w:sz="0" w:space="0" w:color="000000"/>
        </w:pBdr>
        <w:ind w:left="1701" w:hanging="283"/>
        <w:jc w:val="both"/>
      </w:pPr>
      <w:r>
        <w:rPr>
          <w:rFonts w:ascii="Calibri" w:eastAsia="Calibri" w:hAnsi="Calibri" w:cs="Calibri"/>
          <w:sz w:val="22"/>
          <w:szCs w:val="22"/>
        </w:rPr>
        <w:t>Zobrazenie stavu a riešiteľa požiadavky</w:t>
      </w:r>
    </w:p>
    <w:p w14:paraId="00000157"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right="-567"/>
        <w:jc w:val="both"/>
        <w:rPr>
          <w:rFonts w:ascii="Calibri" w:eastAsia="Calibri" w:hAnsi="Calibri" w:cs="Calibri"/>
          <w:sz w:val="22"/>
          <w:szCs w:val="22"/>
        </w:rPr>
      </w:pPr>
      <w:r>
        <w:rPr>
          <w:rFonts w:ascii="Calibri" w:eastAsia="Calibri" w:hAnsi="Calibri" w:cs="Calibri"/>
          <w:b/>
          <w:sz w:val="22"/>
          <w:szCs w:val="22"/>
        </w:rPr>
        <w:t>do 1 dňa</w:t>
      </w:r>
      <w:r>
        <w:rPr>
          <w:rFonts w:ascii="Calibri" w:eastAsia="Calibri" w:hAnsi="Calibri" w:cs="Calibri"/>
          <w:sz w:val="22"/>
          <w:szCs w:val="22"/>
        </w:rPr>
        <w:t xml:space="preserve"> od účinnosti tejto Zmluvy.</w:t>
      </w:r>
    </w:p>
    <w:p w14:paraId="00000158" w14:textId="4742E461" w:rsidR="00474B94"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Službu individuálnej obsluhy </w:t>
      </w:r>
      <w:r w:rsidRPr="00BC48C3">
        <w:rPr>
          <w:rFonts w:ascii="Calibri" w:eastAsia="Calibri" w:hAnsi="Calibri" w:cs="Calibri"/>
          <w:i/>
          <w:sz w:val="22"/>
          <w:szCs w:val="22"/>
        </w:rPr>
        <w:t>key account manažérom</w:t>
      </w:r>
      <w:r>
        <w:rPr>
          <w:rFonts w:ascii="Calibri" w:eastAsia="Calibri" w:hAnsi="Calibri" w:cs="Calibri"/>
          <w:sz w:val="22"/>
          <w:szCs w:val="22"/>
        </w:rPr>
        <w:t xml:space="preserve"> </w:t>
      </w:r>
      <w:r w:rsidRPr="00BC48C3">
        <w:rPr>
          <w:rFonts w:ascii="Calibri" w:eastAsia="Calibri" w:hAnsi="Calibri" w:cs="Calibri"/>
          <w:i/>
          <w:sz w:val="22"/>
          <w:szCs w:val="22"/>
        </w:rPr>
        <w:t>(meno, e-mail</w:t>
      </w:r>
      <w:r w:rsidR="00A62B92">
        <w:rPr>
          <w:rFonts w:ascii="Calibri" w:eastAsia="Calibri" w:hAnsi="Calibri" w:cs="Calibri"/>
          <w:i/>
          <w:sz w:val="22"/>
          <w:szCs w:val="22"/>
        </w:rPr>
        <w:t>, príp. tel. kontakt</w:t>
      </w:r>
      <w:r w:rsidRPr="00BC48C3">
        <w:rPr>
          <w:rFonts w:ascii="Calibri" w:eastAsia="Calibri" w:hAnsi="Calibri" w:cs="Calibri"/>
          <w:i/>
          <w:sz w:val="22"/>
          <w:szCs w:val="22"/>
        </w:rPr>
        <w:t>)</w:t>
      </w:r>
      <w:r w:rsidRPr="00B13AC3">
        <w:rPr>
          <w:rFonts w:ascii="Calibri" w:eastAsia="Calibri" w:hAnsi="Calibri" w:cs="Calibri"/>
          <w:i/>
          <w:sz w:val="22"/>
          <w:szCs w:val="22"/>
        </w:rPr>
        <w:t>...............................................................................</w:t>
      </w:r>
      <w:r w:rsidRPr="00B13AC3">
        <w:rPr>
          <w:rFonts w:ascii="Calibri" w:eastAsia="Calibri" w:hAnsi="Calibri" w:cs="Calibri"/>
          <w:sz w:val="22"/>
          <w:szCs w:val="22"/>
        </w:rPr>
        <w:t>p</w:t>
      </w:r>
      <w:r>
        <w:rPr>
          <w:rFonts w:ascii="Calibri" w:eastAsia="Calibri" w:hAnsi="Calibri" w:cs="Calibri"/>
          <w:sz w:val="22"/>
          <w:szCs w:val="22"/>
        </w:rPr>
        <w:t>re všetky odberné miesta, ktorá zahŕňa okrem iného aj operatívne riešenie technických, zmluvných a fakturačných problémov, aktívnu podporu pri pripájaní nových odberných miest odberateľa počas celého obdobia platnosti zmluvy.</w:t>
      </w:r>
    </w:p>
    <w:p w14:paraId="68C6BDE3" w14:textId="77777777" w:rsidR="008702BD" w:rsidRPr="00BC48C3"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sidRPr="008702BD">
        <w:rPr>
          <w:rFonts w:ascii="Calibri" w:eastAsia="Calibri" w:hAnsi="Calibri" w:cs="Calibri"/>
          <w:sz w:val="22"/>
          <w:szCs w:val="22"/>
        </w:rPr>
        <w:t>zasielanie fakturačných dátových súborov ku každej faktúre do 15. dňa nasledujúceho kalendárneho mesiaca, za ktorú je faktúra vystavená  elektronicky na e-mailovú adresu</w:t>
      </w:r>
      <w:r w:rsidR="00F4176F" w:rsidRPr="008702BD">
        <w:rPr>
          <w:rFonts w:ascii="Calibri" w:eastAsia="Calibri" w:hAnsi="Calibri" w:cs="Calibri"/>
          <w:sz w:val="22"/>
          <w:szCs w:val="22"/>
        </w:rPr>
        <w:t xml:space="preserve"> odberateľa: </w:t>
      </w:r>
      <w:r w:rsidR="008702BD" w:rsidRPr="008702BD">
        <w:rPr>
          <w:rFonts w:ascii="Calibri" w:eastAsia="Calibri" w:hAnsi="Calibri" w:cs="Calibri"/>
          <w:sz w:val="22"/>
          <w:szCs w:val="22"/>
        </w:rPr>
        <w:t>faktury@pvpsas.sk</w:t>
      </w:r>
      <w:r w:rsidR="008702BD" w:rsidRPr="008702BD" w:rsidDel="008702BD">
        <w:rPr>
          <w:rFonts w:ascii="Calibri" w:eastAsia="Calibri" w:hAnsi="Calibri" w:cs="Calibri"/>
          <w:sz w:val="22"/>
          <w:szCs w:val="22"/>
        </w:rPr>
        <w:t xml:space="preserve"> </w:t>
      </w:r>
    </w:p>
    <w:p w14:paraId="0000015A" w14:textId="295D3AD8" w:rsidR="00474B94" w:rsidRPr="00F4176F"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sidRPr="008702BD">
        <w:rPr>
          <w:rFonts w:ascii="Calibri" w:eastAsia="Calibri" w:hAnsi="Calibri" w:cs="Calibri"/>
          <w:sz w:val="22"/>
          <w:szCs w:val="22"/>
        </w:rPr>
        <w:t xml:space="preserve">Návrh fakturačného dátového súboru zašle dodávateľ odberateľovi </w:t>
      </w:r>
      <w:r w:rsidRPr="008702BD">
        <w:rPr>
          <w:rFonts w:ascii="Calibri" w:eastAsia="Calibri" w:hAnsi="Calibri" w:cs="Calibri"/>
          <w:b/>
          <w:sz w:val="22"/>
          <w:szCs w:val="22"/>
        </w:rPr>
        <w:t>do 10 dní</w:t>
      </w:r>
      <w:r w:rsidRPr="008702BD">
        <w:rPr>
          <w:rFonts w:ascii="Calibri" w:eastAsia="Calibri" w:hAnsi="Calibri" w:cs="Calibri"/>
          <w:sz w:val="22"/>
          <w:szCs w:val="22"/>
        </w:rPr>
        <w:t xml:space="preserve"> po podpise zmluvy.  Konečný návrh fakturačného dátového súboru odsúhlasuje odberateľ.</w:t>
      </w:r>
    </w:p>
    <w:p w14:paraId="0000015B" w14:textId="77777777" w:rsidR="00474B94"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Odborné poradenstvo v oblasti energetiky ohľadne legislatívnych a iných relevantných zmien podľa potreby minimálne však 4 x ročne.</w:t>
      </w:r>
    </w:p>
    <w:p w14:paraId="0000015C" w14:textId="368FA367" w:rsidR="00474B94"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Mailovú adresu pre vybavovanie reklamácií </w:t>
      </w:r>
      <w:r>
        <w:rPr>
          <w:rFonts w:ascii="Calibri" w:eastAsia="Calibri" w:hAnsi="Calibri" w:cs="Calibri"/>
          <w:b/>
          <w:sz w:val="22"/>
          <w:szCs w:val="22"/>
        </w:rPr>
        <w:t>do 1 dňa</w:t>
      </w:r>
      <w:r>
        <w:rPr>
          <w:rFonts w:ascii="Calibri" w:eastAsia="Calibri" w:hAnsi="Calibri" w:cs="Calibri"/>
          <w:sz w:val="22"/>
          <w:szCs w:val="22"/>
        </w:rPr>
        <w:t xml:space="preserve"> od podpisu zmluvy,</w:t>
      </w:r>
    </w:p>
    <w:p w14:paraId="0000015E"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dodať odberateľovi predmet zmluvy s odbornou starostlivosťou, v súlade so záujmami odberateľa, pokynmi odberateľa, právnymi predpismi, rozhodnutiami orgánov verejnej správy a technickými normami, vrátane technických noriem, ktoré nie sú záväzné a ktoré zároveň nie sú v rozpore so záväznými technickými normami.</w:t>
      </w:r>
    </w:p>
    <w:p w14:paraId="0000015F"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poskytnúť službu bez právnych vád.</w:t>
      </w:r>
    </w:p>
    <w:p w14:paraId="00000160"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sa zaväzuje dodržiavať pri poskytovaní služby všetky predpisy na ochranu životného prostredia a pokyny odberateľa, predchádzať akýmkoľvek škodám na životnom prostredí a poskytnúť odberateľovi akúkoľvek súčinnosť, ak bude ochrana životného prostredia ohrozená.</w:t>
      </w:r>
    </w:p>
    <w:p w14:paraId="00000161"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postupovať pri realizácii predmetu zmluvy v súlade s platnými právnymi predpismi, najmä v súlade so zákonom č. 251/2012 Z. z. o energetike a o zmene a doplnení niektorých zákonov v znení neskorších predpisov, zákonom č. 250/2012 Z. z. o regulácii v sieťových odvetviach a o zmene a doplnení niektorých zákonov v znení neskorších predpisov, vyhláškou č. 24/2013 Z. z. Úradu pre reguláciu sieťových odvetví, ktorou sa ustanovujú pravidlá pre fungovanie vnútorného trhu s elektrinou a pravidlá pre fungovanie vnútorného trhu s plynom, vyhláškou č. 236/2016 Z. z. Úradu pre reguláciu sieťových odvetví, ktorou sa ustanovujú štandardy kvality prenosu elektriny, distribúcie elektriny a dodávky elektriny a ďalšími všeobecne záväznými právnymi predpismi vzťahujúcimi sa na oblasť elektroenergetiky.</w:t>
      </w:r>
    </w:p>
    <w:p w14:paraId="00000162"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tabs>
          <w:tab w:val="left" w:pos="0"/>
          <w:tab w:val="left" w:pos="851"/>
        </w:tabs>
        <w:ind w:right="-142"/>
        <w:jc w:val="both"/>
        <w:rPr>
          <w:rFonts w:ascii="Calibri" w:eastAsia="Calibri" w:hAnsi="Calibri" w:cs="Calibri"/>
          <w:sz w:val="22"/>
          <w:szCs w:val="22"/>
        </w:rPr>
      </w:pPr>
    </w:p>
    <w:p w14:paraId="0000016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 xml:space="preserve">XI. </w:t>
      </w:r>
    </w:p>
    <w:p w14:paraId="0000016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Reklamácie</w:t>
      </w:r>
    </w:p>
    <w:p w14:paraId="00000165" w14:textId="70B537D0"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 xml:space="preserve">Ak zistí odberateľ chyby alebo omyly pri fakturácii vzniknuté napr. nesprávnou funkciou meracieho zariadenia, nesprávnym odpočtom meracieho zariadenia, použitím nesprávnej ceny za elektrickú energiu, alebo distribučné služby, aritmetickú alebo tlačovú chybu vo faktúre, odberateľ má právo vrátiť faktúru prostredníctvom pošty na adresu dodávateľa alebo elektronicky mailom na adresu určenú dodávateľom k odstráneniu zisteného stavu a k jeho náprave. </w:t>
      </w:r>
    </w:p>
    <w:p w14:paraId="00000166" w14:textId="77777777"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Odberateľ má právo reklamovať faktúru okrem skutočností uvedených v bode 1. tohto článku zmluvy aj kvalitu poskytnutých zmluvných plnení, prerušenie alebo obmedzenie plnení alebo iné zistené chyby súvisiace s poskytovaním služieb.</w:t>
      </w:r>
    </w:p>
    <w:p w14:paraId="00000167" w14:textId="77777777"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Reklamácia musí obsahovať najmä: identifikáciu odberateľa, ak je to relevantné - identifikačné údaje reklamovanej faktúry vrátane variabilného symbolu a ak je reklamované meranie tak aj číslo odberného miesta, číslo meracieho zariadenia a zistené stavy, ďalej presný popis reklamovanej skutočnosti a odôvodnenie reklamácie vrátane prípadnej dokumentácie.</w:t>
      </w:r>
    </w:p>
    <w:p w14:paraId="00000168" w14:textId="77777777"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Dodávateľ je povinný reklamáciu prešetriť a najneskôr do 30 dní odo dňa obdržania reklamácie písomne oznámiť odberateľovi, ktorý podal reklamáciu, výsledok šetrenia.</w:t>
      </w:r>
    </w:p>
    <w:p w14:paraId="00000169" w14:textId="77777777"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Ak bola reklamácia oprávnená, je dodávateľ povinný okamžite zjednať nápravu v zmysle požiadaviek odberateľa.</w:t>
      </w:r>
    </w:p>
    <w:p w14:paraId="0000016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 xml:space="preserve">XII. </w:t>
      </w:r>
    </w:p>
    <w:p w14:paraId="0000016B"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Ukončenie a zánik zmluvy</w:t>
      </w:r>
    </w:p>
    <w:p w14:paraId="0000016C"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Zmluva zaniká po uplynutí zmluvne dohodnutej  doby plnenia predmetu zmluvy, uvedenej v článku III. Zmluvy.</w:t>
      </w:r>
    </w:p>
    <w:p w14:paraId="0000016D"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Zmluvu možno ukončiť dohodou zmluvných strán, k platnosti ktorej sa vyžaduje písomná forma.</w:t>
      </w:r>
    </w:p>
    <w:p w14:paraId="0000016E"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Zmluvu možno ukončiť písomným oznámením odberateľa o odstúpení od zmluvy doručeným dodávateľovi, ak </w:t>
      </w:r>
    </w:p>
    <w:p w14:paraId="0000016F" w14:textId="77777777" w:rsidR="00474B94" w:rsidRDefault="007952C8">
      <w:pPr>
        <w:numPr>
          <w:ilvl w:val="0"/>
          <w:numId w:val="17"/>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bol na majetok dodávateľa vyhlásený konkurz, bol zamietnutý návrh na vyhlásenie konkurzu pre nedostatok majetku, alebo ak bol konkurz zrušený z dôvodu, že majetok úpadcu nestačí na úhradu výdavkov a odmenu správcu konkurznej podstaty, alebo bolo konkurzné konanie zastavené pre nedostatok majetku, alebo ak bol konkurz zrušený pre nedostatok majetku, alebo ak po ukončení konkurzného konania nezostane spoločnosti žiaden majetok, alebo dôjde k akémukoľvek činu alebo udalosti, ktorá by mala (podľa platných zákonov) podobný efekt ako ktorýkoľvek z uvedených činov alebo udalostí, </w:t>
      </w:r>
    </w:p>
    <w:p w14:paraId="00000170" w14:textId="77777777" w:rsidR="00474B94" w:rsidRDefault="007952C8">
      <w:pPr>
        <w:numPr>
          <w:ilvl w:val="0"/>
          <w:numId w:val="17"/>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spoločnosť dodávateľa vstúpila do likvidácie,</w:t>
      </w:r>
    </w:p>
    <w:p w14:paraId="00000171" w14:textId="77777777" w:rsidR="00474B94" w:rsidRDefault="007952C8">
      <w:pPr>
        <w:numPr>
          <w:ilvl w:val="0"/>
          <w:numId w:val="17"/>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dodávateľ poruší podmienky stanovené v zmluve, a to najmä v prípade, ak dodávateľ nezabezpečí odberateľovi dohodnutú dodávku elektrickej energie v súlade s podmienkami zmluvy - jedná sa o podstatné porušenie zmluvy,</w:t>
      </w:r>
    </w:p>
    <w:p w14:paraId="00000172" w14:textId="77777777" w:rsidR="00474B94" w:rsidRDefault="007952C8">
      <w:pPr>
        <w:numPr>
          <w:ilvl w:val="0"/>
          <w:numId w:val="17"/>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dodávateľ stratí v priebehu výkonu činnosti oprávnenie na dodávku elektrickej energie.</w:t>
      </w:r>
    </w:p>
    <w:p w14:paraId="00000173"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Ak ukončenie zmluvy znamená aj ukončenie odberu elektrickej energie v existujúcom OM, odberateľ je povinný písomne v elektronickej forme oznámiť dodávateľovi túto skutočnosť najneskôr do 10 dní pred ukončením odberu. Dodávateľ vykoná všetky úkony potrebné na ukončenie zmluvy o pripojení, ktorú má odberateľ uzatvorenú s príslušným prevádzkovateľom distribučnej sústavy. Za deň ukončenia zmluvy sa považuje deň ukončenia odberu oznámený odberateľom dodávateľovi.</w:t>
      </w:r>
    </w:p>
    <w:p w14:paraId="00000174"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Účinnosť odstúpenia nastane dňom doručenia písomného oznámenia o odstúpení od zmluvy odberateľom dodávateľovi alebo neskorším dňom uvedeným v písomnom oznámení odberateľa o odstúpení zaslanom dodávateľovi. Písomné oznámenie odberateľa o odstúpení od zmluvy sa považuje za doručené dodávateľovi dňom prevzatia zásielky alebo dňom odmietnutia prevzatia zásielky alebo dňom jej uloženia na pošte, aj keď sa dodávateľ o uložení zásielky nedozvedel. </w:t>
      </w:r>
    </w:p>
    <w:p w14:paraId="00000175"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Pri odstúpení od zmluvy zostávajú zachované z nej vyplývajúce práva a povinnosti zmluvných strán do dňa účinnosti odstúpenia. Zmluvné strany sú povinné vyrovnať všetky pohľadávky a záväzky vzniknuté do dňa účinnosti odstúpenia od zmluvy.</w:t>
      </w:r>
    </w:p>
    <w:p w14:paraId="00000176"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Odstúpením od zmluvy nie sú dotknuté nároky zmluvných strán na náhradu škody, zmluvných pokút a sankcií.</w:t>
      </w:r>
    </w:p>
    <w:p w14:paraId="00000177"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00000178"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XIII.</w:t>
      </w:r>
    </w:p>
    <w:p w14:paraId="0000017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Ochrana informácií</w:t>
      </w:r>
    </w:p>
    <w:p w14:paraId="0000017A"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zaväzujú nakladať s akýmikoľvek údajmi, informáciami alebo dokumentmi, ktoré boli druhej zmluvnej strane poskytnuté alebo druhou zmluvnou stranou akýmkoľvek spôsobom získané v súvislosti s plnením predmetu zmluvy, ako s informáciami dôverného charakteru a/alebo s informáciami, ktoré sú predmetom obchodného tajomstva (ak spĺňajú náležitosti podľa § 17 Obchodného zákonníka).</w:t>
      </w:r>
    </w:p>
    <w:p w14:paraId="0000017B"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zaväzujú pri nakladaní s takýmito údajmi, informáciami alebo dokumentmi dodržiavať zásady ich ochrany a utajenia, pričom takéto údaje, informácie alebo dokumenty nesmú bez predchádzajúceho písomného súhlasu druhej Zmluvnej strany poskytnúť tretím osobám a ani svojim zamestnancom, ktorí sa nezúčastňujú plnenia tejto zmluvy.</w:t>
      </w:r>
    </w:p>
    <w:p w14:paraId="0000017C"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nie je oprávnený bez predchádzajúceho písomného súhlasu odberateľa uvádzať odberateľa ako svojho obchodného partnera a/alebo používať obchodné meno alebo logo odberateľa pri propagácii seba alebo svojej činnosti alebo vo vyhláseniach pre médiá, a to v akejkoľvek forme.</w:t>
      </w:r>
    </w:p>
    <w:p w14:paraId="0000017D"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sú povinné zaistiť utajenie získaných dôverných informácií spôsobom obvyklým pre utajovanie takýchto informácií, ak nie je výslovne dojednané inak. Táto povinnosť platí bez ohľadu na ukončenie účinnosti tejto zmluvy.</w:t>
      </w:r>
    </w:p>
    <w:p w14:paraId="0000017E"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sú povinné zaistiť utajenie dôverných informácií aj u svojich zamestnancov, zástupcov, ako aj iných spolupracujúcich tretích strán, pokiaľ im takéto informácie boli poskytnuté. V takomto prípade sa poskytnutie dôverných informácií týmto osobám nepovažuje za porušenie tejto zmluvy, pokiaľ je nevyhnutné pre naplnenie účelu tejto zmluvy a došlo k nemu len v nevyhnutnom rozsahu.</w:t>
      </w:r>
    </w:p>
    <w:p w14:paraId="0000017F"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Právo užívať, poskytovať a sprístupniť dôverné informácie majú obe strany len v rozsahu a za podmienok nevyhnutných pre riadne plnenie práv a povinností vyplývajúcich z tejto zmluvy.</w:t>
      </w:r>
    </w:p>
    <w:p w14:paraId="00000180"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Zmluvná strana, ktorá poruší povinnosti vyplývajúce z tohto článku ohľadne ochrany dôverných informácií je povinná nahradiť druhej zmluvnej strane vzniknutú škodu.</w:t>
      </w:r>
    </w:p>
    <w:p w14:paraId="00000181"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Všetky informácie, ktoré neboli už niektorou zo zmluvných strán zverejnené, alebo nie sú všeobecne známe, sa považujú za dôverné. Za dôverné informácie sa nepovažujú informácie, ktoré sa stali verejne známymi, pokiaľ sa tak nestalo porušením povinnosti ich ochrany, ďalej informácie, ktoré sú sprístupnené podľa zákona č. 211/2000 Z. z. o slobodnom prístupe k informáciám a o zmene a doplnení niektorých zákonov v znení neskorších predpisov, alebo ktoré je odberateľ podľa tohto zákona povinný sprístupniť.</w:t>
      </w:r>
    </w:p>
    <w:p w14:paraId="00000182"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18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sz w:val="22"/>
          <w:szCs w:val="22"/>
        </w:rPr>
      </w:pPr>
      <w:r>
        <w:rPr>
          <w:rFonts w:ascii="Calibri" w:eastAsia="Calibri" w:hAnsi="Calibri" w:cs="Calibri"/>
          <w:b/>
          <w:sz w:val="22"/>
          <w:szCs w:val="22"/>
        </w:rPr>
        <w:t>XIV</w:t>
      </w:r>
      <w:r>
        <w:rPr>
          <w:rFonts w:ascii="Calibri" w:eastAsia="Calibri" w:hAnsi="Calibri" w:cs="Calibri"/>
          <w:sz w:val="22"/>
          <w:szCs w:val="22"/>
        </w:rPr>
        <w:t>.</w:t>
      </w:r>
    </w:p>
    <w:p w14:paraId="0000018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Doručovanie</w:t>
      </w:r>
    </w:p>
    <w:p w14:paraId="00000185" w14:textId="77777777" w:rsidR="00474B94" w:rsidRDefault="007952C8">
      <w:pPr>
        <w:numPr>
          <w:ilvl w:val="0"/>
          <w:numId w:val="13"/>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Adresou pre doručovanie písomností je adresa uvedená v článku I. tejto zmluvy alebo adresa, ktorú Zmluvná strana ako takúto písomne oznámila druhej Zmluvnej strane.</w:t>
      </w:r>
    </w:p>
    <w:p w14:paraId="00000186" w14:textId="77777777" w:rsidR="00474B94" w:rsidRDefault="007952C8">
      <w:pPr>
        <w:numPr>
          <w:ilvl w:val="0"/>
          <w:numId w:val="13"/>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Ak to nie je v rozpore s právnymi predpismi, tak prejav vôle odosielateľa je voči adresátovi riadne uplatnený aj okamihom, kedy adresát prijatie prejavu vôle odmietne alebo doručenie inak úmyselne zmarí (znemožní), alebo ak zásielka bude vrátená odosielateľovi ako nedoručená.</w:t>
      </w:r>
    </w:p>
    <w:p w14:paraId="00000187" w14:textId="351D57E0" w:rsidR="00474B94" w:rsidRPr="00BC48C3" w:rsidRDefault="00474B94" w:rsidP="00BC48C3">
      <w:pPr>
        <w:pBdr>
          <w:top w:val="none" w:sz="0" w:space="0" w:color="000000"/>
          <w:left w:val="none" w:sz="0" w:space="0" w:color="000000"/>
          <w:bottom w:val="none" w:sz="0" w:space="0" w:color="000000"/>
          <w:right w:val="none" w:sz="0" w:space="0" w:color="000000"/>
          <w:between w:val="none" w:sz="0" w:space="0" w:color="000000"/>
        </w:pBdr>
        <w:tabs>
          <w:tab w:val="left" w:pos="-5954"/>
        </w:tabs>
      </w:pPr>
      <w:bookmarkStart w:id="0" w:name="_heading=h.30j0zll" w:colFirst="0" w:colLast="0"/>
      <w:bookmarkEnd w:id="0"/>
    </w:p>
    <w:p w14:paraId="00000188"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XV.</w:t>
      </w:r>
    </w:p>
    <w:p w14:paraId="0000018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Stav poslednej inštancie</w:t>
      </w:r>
    </w:p>
    <w:p w14:paraId="0000018A" w14:textId="77777777"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Dodávka poslednej inštancie sa začína dňom nasledujúcim po dni, keď dodávateľ stratil spôsobilosť dodávať elektrickú energiu a bola dodávateľovi poslednej inštancie zo strany PDS oznámená táto skutočnosť.</w:t>
      </w:r>
    </w:p>
    <w:p w14:paraId="0000018B" w14:textId="77777777"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Dodávka poslednej inštancie trvá najviac tri mesiace. Odberateľ uhradí dodávateľovi poslednej inštancie cenu za dodávku elektrickej energie podľa cenového rozhodnutia vydaného úradom pre dodávateľa poslednej inštancie. Dodávka poslednej inštancie sa môže ukončiť skôr v prípade, že odberateľ uzatvorí zmluvu s novým dodávateľom elektrickej energie, ktorým môže byť aj dodávateľ poslednej inštancie.</w:t>
      </w:r>
    </w:p>
    <w:p w14:paraId="0000018C" w14:textId="77777777"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Ak dodávateľ stratil spôsobilosť dodávať elektrickú energiu odberateľom, zmluva zaniká dňom, keď dodávateľ stratil spôsobilosť dodávať elektrickú energiu.</w:t>
      </w:r>
    </w:p>
    <w:p w14:paraId="0000018D" w14:textId="77777777"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PDS najneskôr 15 dní pred uplynutím výpovednej lehoty zmluvy o prístupe do distribučnej siete a distribúcii elektrickej energie alebo bezprostredne po tom ako sa dozvie, že dodávateľ stratil spôsobilosť dodávať elektrickú energiu oznámi odberateľovi:</w:t>
      </w:r>
    </w:p>
    <w:p w14:paraId="0000018E"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deň, od ktorého sa začína dodávka elektrickej energie dodávateľom poslednej inštancie,</w:t>
      </w:r>
    </w:p>
    <w:p w14:paraId="0000018F"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dôvod začatia dodávky elektrickej energie dodávateľom poslednej inštancie,</w:t>
      </w:r>
    </w:p>
    <w:p w14:paraId="00000190"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zánik zmluvy, ak pôvodný dodávateľ elektrickej energie stratil spôsobilosť dodávky elektrickej energie,</w:t>
      </w:r>
    </w:p>
    <w:p w14:paraId="00000191"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dobu trvania dodávky elektrickej energie dodávateľom poslednej inštancie,</w:t>
      </w:r>
    </w:p>
    <w:p w14:paraId="00000192"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poučenie o povinnosti uhradiť cenu za dodávku elektrickej energie dodávateľovi poslednej inštancie.</w:t>
      </w:r>
    </w:p>
    <w:p w14:paraId="00000193" w14:textId="610A7A16"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Inštitút dodávateľa poslednej inštancie v oblasti dodávky elektrickej energie podlieha zákonu o energetike a bližšie je popísaný vo vyhláške ÚRSO č. 24/2013 Z.z., ktorou sa ustanovujú pravidlá pre fungovanie vnútorného trhu s elektrinou a pravidlá pre fungovanie vnútorného trhu s elektrickou energiou.</w:t>
      </w:r>
    </w:p>
    <w:p w14:paraId="00000194"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p>
    <w:p w14:paraId="0000019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XVI.</w:t>
      </w:r>
    </w:p>
    <w:p w14:paraId="00000196"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Ustanovenia o krízovej situácii v elektroenergetike</w:t>
      </w:r>
    </w:p>
    <w:p w14:paraId="00000197" w14:textId="77777777" w:rsidR="00474B94" w:rsidRDefault="007952C8">
      <w:pPr>
        <w:numPr>
          <w:ilvl w:val="0"/>
          <w:numId w:val="24"/>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Obmedzujúce opatrenia v elektroenergetike pre riešenie stavu núdze sa riadia Vyhláškou Ministerstva hospodárstva SR č. 416/2012 Z. z.</w:t>
      </w:r>
    </w:p>
    <w:p w14:paraId="0000019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p>
    <w:p w14:paraId="0000019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XVII.</w:t>
      </w:r>
    </w:p>
    <w:p w14:paraId="0000019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Záverečné ustanovenia</w:t>
      </w:r>
    </w:p>
    <w:p w14:paraId="0000019B"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Právne vzťahy neupravené touto zmluvou sa riadia príslušnými ustanoveniami Obchodného zákonníka v súlade so zákonom o energetike, zákonom č. 250/2012 Z.z. o regulácii v sieťových odvetviach a ďalších právnych predpisov vo vzťahu na predmet a obsah tejto zmluvy. Všeobecné obchodné podmienky dodávateľa sa na úpravu tohto zmluvného vzťahu nepoužijú.</w:t>
      </w:r>
    </w:p>
    <w:p w14:paraId="0000019C" w14:textId="36D041F3"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ak je alebo sa stane niektoré ustanovenie tejto zmluvy neplatné alebo neúčinné, nedotýka sa to ostatných ustanovení zmluvy, ktoré zostávajú platné a účinné. Zmluvné strany sa v tomto prípade zaväzujú dohodou nahradiť ustanovenia neplatné alebo neúčinné ustanoveniami platnými a účinnými, ktoré najlepšie zodpovedajú pôvodne zamýšľanému účelu ustanovenia neplatného alebo neúčinného. Do tej doby platí úprava príslušných právnych predpisov.</w:t>
      </w:r>
    </w:p>
    <w:p w14:paraId="0000019D"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Zmena identifikačných údajov zmluvných strán, ako sú napr. číslo účtu, zmeny útvaru zodpovedného za uzatvorenie a plnenie zmluvy alebo zmena oprávnených osôb sa nebudú považovať za zmeny vyžadujúce uzavretie dodatku k zmluve. Zmluvná strana dotknutá zmenou je povinná zmeny týchto údajov písomne oznámiť druhej zmluvnej strane bez zbytočného odkladu doporučenou zásielkou zaslanej druhej zmluvnej strane na adresu jej sídla. Takto oznámená zmena nadobúda účinnosť dňom doručenia oznámenia druhej zmluvnej strane.</w:t>
      </w:r>
    </w:p>
    <w:p w14:paraId="0000019E" w14:textId="69FA7F9F"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Subdodávateľ je hospodársky subjekt, ktorý uzavrel s dodávateľom ako úspešných uchádzačom písomnú odplatnú zmluvu na plnenie určitej časti zákazky (§ 2 ods. 4 zákona č. 343/2015 Z. z.). </w:t>
      </w:r>
    </w:p>
    <w:p w14:paraId="0000019F"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nie je oprávnený práva a/alebo povinnosti vyplývajúce z tejto zmluvy previesť na tretiu osobu, bez vopred daného písomného súhlasu odberateľa. Dodávateľovi subdodávatelia nie sú oprávnení práva a povinnosti vyplývajúce zo subdodávateľskej zmluvy s dodávateľom ako odberateľom previesť na tretiu osobu, bez vopred daného písomného súhlasu odberateľa. To isté platí pre subdodávateľov dodávateľových subdodávateľov atď. (schvaľovanie subdodávateľov). Za plnenie predmetu zmluvy/jej časti a/alebo akýchkoľvek služieb subdodávateľom, má dodávateľ zodpovednosť akoby plnil sám.</w:t>
      </w:r>
    </w:p>
    <w:p w14:paraId="000001A0"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si vyhradzuje právo odmietnuť kedykoľvek akéhokoľvek subdodávateľa bez toho, že by mal dodávateľ nárok na kompenzáciu. V takomto prípade je dodávateľ povinný bez zbytočného odkladu právne relevantným spôsobom ukončiť zmluvu so subdodávateľom a uplatňovať voči nemu všetky svoje práva vyplývajúce zo zaniknutého zmluvného vzťahu.</w:t>
      </w:r>
    </w:p>
    <w:p w14:paraId="000001A1"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neudelí súhlas v zmysle bodu 5. tohto článku tejto zmluvy, najmä ak nominovaný subdodávateľ bol uchádzačom o zákazku, ktorá je predmetom tejto zmluvy a z akéhokoľvek dôvodu neuspel a/alebo nespĺňa povinnosti vyplývajúce mu zo zákona č. 315/2016 Z. z. o registri partnerov verejného sektora a o zmene a doplnení niektorých zákonov.</w:t>
      </w:r>
    </w:p>
    <w:p w14:paraId="000001A2"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má právo kedykoľvek odvolať jeho súhlas podľa bodu 5. tohto článku zmluvy najmä v prípade, že plnenie predmetu zmluvy/alebo jej časti subdodávateľom nie je vykonávané v súlade s touto zmluvou a/alebo k spokojnosti odberateľa.</w:t>
      </w:r>
    </w:p>
    <w:p w14:paraId="000001A3"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Ak dodávateľ v súlade s touto zmluvou zadá časť plnenia predmetu zmluvy subdodávateľovi, je povinný mu riadne a včas v zmysle subdodávateľskej zmluvy zaplatiť. Dodávateľ nie je oprávnený viazať platby subdodávateľovi na zaplatenie faktúry odberateľom dodávateľovi (zákaz odkladacej podmienky na platby).</w:t>
      </w:r>
    </w:p>
    <w:p w14:paraId="000001A4" w14:textId="4D321389"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oznámiť akúkoľvek zmenu údajov týkajúcich sa jeho subdodávateľov odberateľovi, bezodkladne od okamihu, kedy sa o zmene dozvedel, alebo sa mal dozvedieť.</w:t>
      </w:r>
    </w:p>
    <w:p w14:paraId="000001A5"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oprávnený na zmenu svojich subdodávateľov len s predchádzajúcim písomným súhlasom odberateľa. Dodávateľ je povinný v žiadosti o súhlas poskytnúť odberateľovi o navrhovanom subdodávateľovi všetky údaje podľa § 41 ods. 3 zákona č. 343/2015 Z. z.</w:t>
      </w:r>
    </w:p>
    <w:p w14:paraId="000001A6"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zaväzujú, že akékoľvek pohľadávky, ktoré vzniknú na základe Zmluvy jednej Zmluvnej strane /veriteľovi/ voči druhej Zmluvnej strane /dlžníkovi/, nebudú postupovať iným osobám /zákaz postúpenia pohľadávky/ bez predchádzajúceho písomného súhlasu dlžníka.</w:t>
      </w:r>
    </w:p>
    <w:p w14:paraId="000001A7"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nie je oprávnený jednostranne započítať akúkoľvek svoju pohľadávku voči pohľadávkam Odberateľa.</w:t>
      </w:r>
    </w:p>
    <w:p w14:paraId="000001A8"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v plnom rozsahu dodržiavať zákon č. 82/2005 Z. z. o nelegálnej práci a nelegálnom zamestnávaní a o zmene a doplnení niektorých zákonov (ďalej len „zákon o nelegálnej práci a nelegálnom zamestnávaní“). Dodávateľ zároveň vyhlasuje, že neporušuje a počas trvania tejto zmluvy nebude porušovať zákaz nelegálneho zamestnávania v zmysle zákona o nelegálnom zamestnávaní.</w:t>
      </w:r>
    </w:p>
    <w:p w14:paraId="000001A9"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uloženia pokuty Odberateľovi kontrolným orgánom podľa § 7b ods. 7 zákona o nelegálnej práci a nelegálnom zamestnávaní za porušenie zákazu prijať prácu alebo službu podľa § 7b ods. 5 zákona o nelegálnej práci a nelegálnom zamestnávaní je Dodávateľ povinný pokutu v plnej výške uhradiť Odberateľovi, na základe výzvy odberateľa na jej úhradu, najneskôr do 5 dní od právoplatnosti rozhodnutia o uložení pokuty. Uhradením pokuty nie je dotknutý nárok Odberateľa na náhradu prípadnej škody. Odberateľ je povinný bezodkladne Dodávateľa informovať o konaní vedenom kontrolným orgánom, ktorého výsledkom môže byť uloženie pokuty.</w:t>
      </w:r>
    </w:p>
    <w:p w14:paraId="000001AA"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dohodli, že odberateľ je oprávnený jednostranne započítať si svoju pohľadávku voči dodávateľovi titulom uhradenia pokuty uloženej právoplatným rozhodnutím podľa § 7b ods. 7 zákona o nelegálnej práci a nelegálnom zamestnávaní voči pohľadávke Dodávateľa, ktorú je odberateľ povinný vyplatiť dodávateľovi. Toto ustanovenie má prednosť pred ustanoveniami zmluvy, ktoré mu odporujú.</w:t>
      </w:r>
    </w:p>
    <w:p w14:paraId="000001AB"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vyhlasuje, že ku dňu podpisu tejto zmluvy neexistujú dôvody, na základe ktorých by sa odberateľ mal stať ručiteľom za daň podľa § 69 ods. 14 v nadväznosti na § 69b zákona č. 222/2004 Z. z. o DPH.</w:t>
      </w:r>
    </w:p>
    <w:p w14:paraId="000001AC"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v plnom rozsahu dodržiavať zákon č. 315/2016 Z. z. o registri partnerov verejného sektora a o zmene a doplnení niektorých zákonov a súvisiace zákony (ďalej len „zákon o RPVS“). V prípade porušenia povinnosti dodávateľa byť zapísaný v registri v súlade s § 4 ods. 1 zákona o RPVS má odberateľ právo od tejto zmluvy odstúpiť.</w:t>
      </w:r>
    </w:p>
    <w:p w14:paraId="000001AD" w14:textId="4C2DD442"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uloženia pokuty odberateľovi v zmysle zákona o RPVS za porušenie povinnosti zavinením dodávateľa je dodávateľ povinný pokutu v plnej výške uhradiť Odberateľovi, na základe výzvy odberateľa na jej úhradu, najneskôr do 5 dní od právoplatnosti rozhodnutia o uložení pokuty. Uhradením pokuty nie je dotknutý nárok odberateľa na náhradu prípadnej škody. Odberateľ je povinný bezodkladne dodávateľa informovať o konaní vedenom kontrolným orgánom, ktorého výsledkom môže byť uloženie pokuty. Zmluvné strany sa dohodli, že odberateľ je oprávnený jednostranne započítať si svoju pohľadávku voči dodávateľovi titulom uhradenia pokuty v zmysle vyššie uvedeného a zo vzniknutej škody.</w:t>
      </w:r>
    </w:p>
    <w:p w14:paraId="000001AE"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vyhlasuje, že zmluvné podmienky podľa tejto zmluvy nie sú v hrubom nepomere k právam a povinnostiam vyplývajúcim z tohto záväzkového vzťahu pre Dodávateľa, nie sú v rozpore so zásadou poctivého obchodného styku a takéto zmluvné dojednania odôvodňuje povaha predmetu zmluvy a existuje pre ne spravodlivý dôvod.</w:t>
      </w:r>
    </w:p>
    <w:p w14:paraId="000001AF"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Táto zmluva sa spravuje a vykladá podľa zákonov Slovenskej republiky. </w:t>
      </w:r>
    </w:p>
    <w:p w14:paraId="000001B0" w14:textId="7F9CCAFB"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Zmluvné strany sa dohodli, že všetky spory vyplývajúce zo Zmluvy alebo v súvislosti s ňou budú riešené vzájomnou dohodou. Návrh riešenia sporu dohodou predloží dotknutá zmluvná strana bez zbytočného odkladu, najneskôr do 30 dní od vzniku spornej situácie druhej zmluvnej strane. V prípade, že nedôjde k dohode, budú spory riešené mimosúdnou dohodou prostredníctvom ÚRSO. Možnosť obrátiť sa na príslušný súd SR tým nie je dotknutá. Zmluvné strany vylučujú pôsobnosť rozhodcovských súdov a iných arbitrážnych inštancií na riešenie sporov vyplývajúcich z tejto Zmluvy. </w:t>
      </w:r>
    </w:p>
    <w:p w14:paraId="000001B1" w14:textId="0F22DBAC"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highlight w:val="white"/>
        </w:rPr>
        <w:t xml:space="preserve">Zmluvné strany vyhlasujú, že pre účely prípravy a plnenia tejto zmluvy spracúvajú osobné údaje fyzických osôb v súlade </w:t>
      </w:r>
      <w:r>
        <w:rPr>
          <w:rFonts w:ascii="Calibri" w:eastAsia="Calibri" w:hAnsi="Calibri" w:cs="Calibri"/>
          <w:sz w:val="22"/>
          <w:szCs w:val="22"/>
        </w:rPr>
        <w:t>v súlade s Nariadením Európskeho Parlamentu a rady (EÚ)</w:t>
      </w:r>
      <w:r>
        <w:rPr>
          <w:rFonts w:ascii="Calibri" w:eastAsia="Calibri" w:hAnsi="Calibri" w:cs="Calibri"/>
          <w:sz w:val="22"/>
          <w:szCs w:val="22"/>
          <w:highlight w:val="white"/>
        </w:rPr>
        <w:t xml:space="preserve"> </w:t>
      </w:r>
      <w:r>
        <w:rPr>
          <w:rFonts w:ascii="Calibri" w:eastAsia="Calibri" w:hAnsi="Calibri" w:cs="Calibri"/>
          <w:sz w:val="22"/>
          <w:szCs w:val="22"/>
        </w:rPr>
        <w:t xml:space="preserve">č. 2016/679 o ochrane fyzických osôb pri spracúvaní osobných údajov a o voľnom pohybe takýchto údajov, ktorým sa zrušuje smernica 95/46/ES (Všeobecné nariadenie o ochrane údajov) a v súlade </w:t>
      </w:r>
      <w:r>
        <w:rPr>
          <w:rFonts w:ascii="Calibri" w:eastAsia="Calibri" w:hAnsi="Calibri" w:cs="Calibri"/>
          <w:sz w:val="22"/>
          <w:szCs w:val="22"/>
          <w:highlight w:val="white"/>
        </w:rPr>
        <w:t xml:space="preserve">so zákonom č. 18/2018 Z. z. o ochrane osobných údajov a o zmene a doplnení  </w:t>
      </w:r>
      <w:r>
        <w:rPr>
          <w:rFonts w:ascii="Calibri" w:eastAsia="Calibri" w:hAnsi="Calibri" w:cs="Calibri"/>
          <w:sz w:val="22"/>
          <w:szCs w:val="22"/>
        </w:rPr>
        <w:t xml:space="preserve">niektorých zákonov v znení neskorších predpisov a dodržiavajú ho v celom rozsahu. Informácie odberateľa  o spracúvaní osobných údajov sú zverejnené na </w:t>
      </w:r>
      <w:r w:rsidR="004776FF">
        <w:rPr>
          <w:rFonts w:ascii="Calibri" w:eastAsia="Calibri" w:hAnsi="Calibri" w:cs="Calibri"/>
          <w:sz w:val="22"/>
          <w:szCs w:val="22"/>
        </w:rPr>
        <w:t>pvpsas</w:t>
      </w:r>
      <w:hyperlink r:id="rId10" w:history="1">
        <w:r w:rsidR="00AC71ED" w:rsidRPr="00AD4011">
          <w:rPr>
            <w:rStyle w:val="Hypertextovprepojenie"/>
            <w:rFonts w:ascii="Calibri" w:eastAsia="Calibri" w:hAnsi="Calibri" w:cs="Calibri"/>
            <w:sz w:val="22"/>
            <w:szCs w:val="22"/>
          </w:rPr>
          <w:t>http://www.pvpsas.sk/ochrana-osobnych-udajov/</w:t>
        </w:r>
      </w:hyperlink>
      <w:r>
        <w:rPr>
          <w:rFonts w:ascii="Calibri" w:eastAsia="Calibri" w:hAnsi="Calibri" w:cs="Calibri"/>
          <w:sz w:val="22"/>
          <w:szCs w:val="22"/>
        </w:rPr>
        <w:t xml:space="preserve">. </w:t>
      </w:r>
    </w:p>
    <w:p w14:paraId="000001B2"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podpisom zmluvy prehlasuje, že sa oboznámil s:</w:t>
      </w:r>
    </w:p>
    <w:p w14:paraId="000001B3" w14:textId="4752036A" w:rsidR="00474B94" w:rsidRDefault="007952C8">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r>
        <w:rPr>
          <w:rFonts w:ascii="Calibri" w:eastAsia="Calibri" w:hAnsi="Calibri" w:cs="Calibri"/>
          <w:sz w:val="22"/>
          <w:szCs w:val="22"/>
        </w:rPr>
        <w:t xml:space="preserve">- Ustanovením o udržateľnom rozvoji a že ho bude dodržiavať v súlade s princípmi Veolia, zverejneným na stránke </w:t>
      </w:r>
      <w:r w:rsidR="004776FF">
        <w:rPr>
          <w:rFonts w:ascii="Calibri" w:eastAsia="Calibri" w:hAnsi="Calibri" w:cs="Calibri"/>
          <w:sz w:val="22"/>
          <w:szCs w:val="22"/>
        </w:rPr>
        <w:t>s</w:t>
      </w:r>
      <w:hyperlink r:id="rId11" w:history="1">
        <w:r w:rsidR="004776FF" w:rsidRPr="007E4405">
          <w:rPr>
            <w:rStyle w:val="Hypertextovprepojenie"/>
            <w:rFonts w:ascii="Calibri" w:eastAsia="Calibri" w:hAnsi="Calibri" w:cs="Calibri"/>
            <w:sz w:val="22"/>
            <w:szCs w:val="22"/>
          </w:rPr>
          <w:t>http://www.pvpsas.sk/udrzatelny-rozvoj/</w:t>
        </w:r>
      </w:hyperlink>
      <w:r>
        <w:rPr>
          <w:rFonts w:ascii="Calibri" w:eastAsia="Calibri" w:hAnsi="Calibri" w:cs="Calibri"/>
          <w:sz w:val="22"/>
          <w:szCs w:val="22"/>
        </w:rPr>
        <w:t xml:space="preserve">; </w:t>
      </w:r>
    </w:p>
    <w:p w14:paraId="000001B4" w14:textId="3059E09C" w:rsidR="00474B94" w:rsidRDefault="007952C8">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r>
        <w:rPr>
          <w:rFonts w:ascii="Calibri" w:eastAsia="Calibri" w:hAnsi="Calibri" w:cs="Calibri"/>
          <w:sz w:val="22"/>
          <w:szCs w:val="22"/>
        </w:rPr>
        <w:t xml:space="preserve">- Protikorupčnou doložkou zverejnenou na </w:t>
      </w:r>
      <w:hyperlink r:id="rId12" w:history="1">
        <w:r w:rsidR="004776FF" w:rsidRPr="007E4405">
          <w:rPr>
            <w:rStyle w:val="Hypertextovprepojenie"/>
            <w:rFonts w:ascii="Calibri" w:eastAsia="Calibri" w:hAnsi="Calibri" w:cs="Calibri"/>
            <w:sz w:val="22"/>
            <w:szCs w:val="22"/>
          </w:rPr>
          <w:t>http://www.pvpsas.sk/protikorupcna-politika/</w:t>
        </w:r>
      </w:hyperlink>
      <w:r>
        <w:rPr>
          <w:rFonts w:ascii="Calibri" w:eastAsia="Calibri" w:hAnsi="Calibri" w:cs="Calibri"/>
          <w:sz w:val="22"/>
          <w:szCs w:val="22"/>
        </w:rPr>
        <w:t xml:space="preserve">;  </w:t>
      </w:r>
    </w:p>
    <w:p w14:paraId="000001B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r>
        <w:rPr>
          <w:rFonts w:ascii="Calibri" w:eastAsia="Calibri" w:hAnsi="Calibri" w:cs="Calibri"/>
          <w:sz w:val="22"/>
          <w:szCs w:val="22"/>
        </w:rPr>
        <w:t xml:space="preserve"> a zaväzuje sa podľa nej správať</w:t>
      </w:r>
    </w:p>
    <w:p w14:paraId="000001B6" w14:textId="40CB91F7" w:rsidR="00474B94" w:rsidRDefault="007952C8">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r>
        <w:rPr>
          <w:rFonts w:ascii="Calibri" w:eastAsia="Calibri" w:hAnsi="Calibri" w:cs="Calibri"/>
          <w:sz w:val="22"/>
          <w:szCs w:val="22"/>
        </w:rPr>
        <w:t xml:space="preserve">- možnosťou podať anonymné alebo neanonymné oznámenie týkajúce sa vážnych etických pochybení alebo porušenia právnych predpisov a to prostredníctvom nástroja WHISPLI, ktorý je dostupný na </w:t>
      </w:r>
      <w:hyperlink r:id="rId13">
        <w:r>
          <w:rPr>
            <w:rFonts w:ascii="Calibri" w:eastAsia="Calibri" w:hAnsi="Calibri" w:cs="Calibri"/>
            <w:sz w:val="22"/>
            <w:szCs w:val="22"/>
            <w:u w:val="single"/>
          </w:rPr>
          <w:t>https://veolia.whispli.com/ethique</w:t>
        </w:r>
      </w:hyperlink>
      <w:r>
        <w:rPr>
          <w:rFonts w:ascii="Calibri" w:eastAsia="Calibri" w:hAnsi="Calibri" w:cs="Calibri"/>
          <w:sz w:val="22"/>
          <w:szCs w:val="22"/>
        </w:rPr>
        <w:t xml:space="preserve">. </w:t>
      </w:r>
    </w:p>
    <w:p w14:paraId="000001B7"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highlight w:val="white"/>
        </w:rPr>
        <w:t>Zmluvné strany sa vzájomne zaväzujú dodržiavať zákon č. 69/2018 Z. z. o kybernetickej bezpečnosti a o zmene a doplnení niektorých zákonov v znení neskorších predpisov v prípade, ak mu predmet zákazky podlieha.</w:t>
      </w:r>
    </w:p>
    <w:p w14:paraId="000001B8"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Zánikom tejto zmluvy nezaniká účinnosť tých ustanovení, ktoré majú sankčný charakter pre prípad porušenia povinností vyplývajúcich z tejto zmluvy pre Dodávateľa a tých ustanovení, ktoré vzhľadom na svoju povahu majú trvať aj po ukončení tejto zmluvy.</w:t>
      </w:r>
    </w:p>
    <w:p w14:paraId="000001B9"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Zmluvu je možné meniť a dopĺňať iba písomnými dodatkami v súlade s §18 zákona č. 343/2015 Z. z. o verejnom obstarávaní a o zmene a doplnení niektorých zákonov v znení neskorších predpisov, ktoré budú označené poradovými číslami a podpísané oprávnenými zástupcami oboch zmluvných strán.</w:t>
      </w:r>
    </w:p>
    <w:p w14:paraId="000001BA" w14:textId="5A9CC217" w:rsidR="00474B94" w:rsidRPr="00B13AC3"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sidRPr="00B13AC3">
        <w:rPr>
          <w:rFonts w:ascii="Calibri" w:eastAsia="Calibri" w:hAnsi="Calibri" w:cs="Calibri"/>
          <w:sz w:val="22"/>
          <w:szCs w:val="22"/>
        </w:rPr>
        <w:t>Zmluva nadobúda platnosť dňom jej podpisu oprávnenými</w:t>
      </w:r>
      <w:r w:rsidR="0028380F" w:rsidRPr="00B13AC3">
        <w:rPr>
          <w:rFonts w:ascii="Calibri" w:eastAsia="Calibri" w:hAnsi="Calibri" w:cs="Calibri"/>
          <w:sz w:val="22"/>
          <w:szCs w:val="22"/>
        </w:rPr>
        <w:t xml:space="preserve"> osobami</w:t>
      </w:r>
      <w:r w:rsidRPr="00B13AC3">
        <w:rPr>
          <w:rFonts w:ascii="Calibri" w:eastAsia="Calibri" w:hAnsi="Calibri" w:cs="Calibri"/>
          <w:sz w:val="22"/>
          <w:szCs w:val="22"/>
        </w:rPr>
        <w:t xml:space="preserve"> </w:t>
      </w:r>
      <w:r w:rsidR="00B7366C" w:rsidRPr="00B13AC3">
        <w:rPr>
          <w:rFonts w:ascii="Calibri" w:eastAsia="Calibri" w:hAnsi="Calibri" w:cs="Calibri"/>
          <w:sz w:val="22"/>
          <w:szCs w:val="22"/>
        </w:rPr>
        <w:t>a účinnosť dňom 1.1.2025</w:t>
      </w:r>
      <w:r w:rsidRPr="00B13AC3">
        <w:rPr>
          <w:rFonts w:ascii="Calibri" w:eastAsia="Calibri" w:hAnsi="Calibri" w:cs="Calibri"/>
          <w:sz w:val="22"/>
          <w:szCs w:val="22"/>
        </w:rPr>
        <w:t xml:space="preserve"> </w:t>
      </w:r>
    </w:p>
    <w:p w14:paraId="000001BB" w14:textId="2D3F8FD9"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Zmluva je vyhotovená v dvoch (2) rovnopisoch, z ktorých po jednom (1) obdrží dodávateľ a odberateľ.</w:t>
      </w:r>
    </w:p>
    <w:p w14:paraId="000001BC"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Neoddeliteľnou súčasťou zmluvy budú:</w:t>
      </w:r>
    </w:p>
    <w:p w14:paraId="000001BD" w14:textId="77777777" w:rsidR="00474B94" w:rsidRDefault="007952C8">
      <w:pPr>
        <w:numPr>
          <w:ilvl w:val="0"/>
          <w:numId w:val="29"/>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Príloha č. 1: Zoznam odberných miest elektrickej energie, zmluvné množstvá</w:t>
      </w:r>
    </w:p>
    <w:p w14:paraId="000001BE" w14:textId="77777777" w:rsidR="00474B94" w:rsidRDefault="007952C8">
      <w:pPr>
        <w:numPr>
          <w:ilvl w:val="0"/>
          <w:numId w:val="29"/>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Príloha č. 2:  cenová ponuka</w:t>
      </w:r>
    </w:p>
    <w:p w14:paraId="000001BF"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V …………………, dňa</w:t>
      </w:r>
      <w:r>
        <w:rPr>
          <w:rFonts w:ascii="Calibri" w:eastAsia="Calibri" w:hAnsi="Calibri" w:cs="Calibri"/>
          <w:sz w:val="22"/>
          <w:szCs w:val="22"/>
        </w:rPr>
        <w:tab/>
      </w:r>
    </w:p>
    <w:p w14:paraId="000001C1"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p>
    <w:p w14:paraId="000001C2" w14:textId="1A6DCA62"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3" w14:textId="7A7E54F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Za dodávateľa:</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Za odberateľa:</w:t>
      </w:r>
    </w:p>
    <w:p w14:paraId="000001C4"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5"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6"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7"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r>
      <w:r>
        <w:rPr>
          <w:rFonts w:ascii="Calibri" w:eastAsia="Calibri" w:hAnsi="Calibri" w:cs="Calibri"/>
          <w:sz w:val="22"/>
          <w:szCs w:val="22"/>
        </w:rPr>
        <w:tab/>
        <w:t>...........................................................</w:t>
      </w:r>
    </w:p>
    <w:p w14:paraId="000001CA" w14:textId="5B8E7F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Ing. Peter Martinka, člen predstavenstva</w:t>
      </w:r>
    </w:p>
    <w:p w14:paraId="000001CB"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C"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D"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E"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w:t>
      </w:r>
    </w:p>
    <w:p w14:paraId="000001D0" w14:textId="5C5ABC9F"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Ing. Robert Tencer, člen predstavenstva</w:t>
      </w:r>
    </w:p>
    <w:sectPr w:rsidR="00474B94">
      <w:headerReference w:type="even" r:id="rId14"/>
      <w:headerReference w:type="default" r:id="rId15"/>
      <w:footerReference w:type="even" r:id="rId16"/>
      <w:footerReference w:type="default" r:id="rId17"/>
      <w:headerReference w:type="first" r:id="rId18"/>
      <w:footerReference w:type="first" r:id="rId19"/>
      <w:pgSz w:w="11900" w:h="16840"/>
      <w:pgMar w:top="1276" w:right="1418" w:bottom="1418" w:left="1418" w:header="397" w:footer="5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30970" w14:textId="77777777" w:rsidR="00E577E7" w:rsidRDefault="00E577E7">
      <w:r>
        <w:separator/>
      </w:r>
    </w:p>
  </w:endnote>
  <w:endnote w:type="continuationSeparator" w:id="0">
    <w:p w14:paraId="463DA2A7" w14:textId="77777777" w:rsidR="00E577E7" w:rsidRDefault="00E5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Corbel"/>
    <w:charset w:val="00"/>
    <w:family w:val="auto"/>
    <w:pitch w:val="variable"/>
    <w:sig w:usb0="00000003" w:usb1="500079DB" w:usb2="00000010" w:usb3="00000000" w:csb0="0000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4" w14:textId="77777777" w:rsidR="00474B94" w:rsidRDefault="00474B94">
    <w:pPr>
      <w:pBdr>
        <w:top w:val="nil"/>
        <w:left w:val="nil"/>
        <w:bottom w:val="nil"/>
        <w:right w:val="nil"/>
        <w:between w:val="nil"/>
      </w:pBdr>
      <w:tabs>
        <w:tab w:val="center" w:pos="4536"/>
        <w:tab w:val="right" w:pos="9072"/>
      </w:tabs>
      <w:rPr>
        <w:rFonts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5" w14:textId="77777777" w:rsidR="00474B94" w:rsidRDefault="007952C8">
    <w:pPr>
      <w:pBdr>
        <w:top w:val="nil"/>
        <w:left w:val="nil"/>
        <w:bottom w:val="nil"/>
        <w:right w:val="nil"/>
        <w:between w:val="nil"/>
      </w:pBdr>
      <w:tabs>
        <w:tab w:val="center" w:pos="4536"/>
        <w:tab w:val="right" w:pos="9072"/>
      </w:tabs>
      <w:rPr>
        <w:rFonts w:ascii="Calibri" w:eastAsia="Calibri" w:hAnsi="Calibri" w:cs="Calibri"/>
        <w:sz w:val="18"/>
        <w:szCs w:val="18"/>
      </w:rPr>
    </w:pPr>
    <w:r>
      <w:rPr>
        <w:rFonts w:ascii="Calibri" w:eastAsia="Calibri" w:hAnsi="Calibri" w:cs="Calibri"/>
        <w:sz w:val="18"/>
        <w:szCs w:val="18"/>
      </w:rPr>
      <w:t>Združená dodávka elektrickej energie</w:t>
    </w:r>
  </w:p>
  <w:p w14:paraId="000001D6" w14:textId="77777777" w:rsidR="00474B94" w:rsidRDefault="00474B94">
    <w:pPr>
      <w:pBdr>
        <w:top w:val="nil"/>
        <w:left w:val="nil"/>
        <w:bottom w:val="nil"/>
        <w:right w:val="nil"/>
        <w:between w:val="nil"/>
      </w:pBdr>
      <w:tabs>
        <w:tab w:val="center" w:pos="4536"/>
        <w:tab w:val="right" w:pos="9072"/>
      </w:tabs>
      <w:rPr>
        <w:rFonts w:ascii="Calibri" w:eastAsia="Calibri" w:hAnsi="Calibri" w:cs="Calibri"/>
        <w:sz w:val="18"/>
        <w:szCs w:val="18"/>
      </w:rPr>
    </w:pPr>
  </w:p>
  <w:p w14:paraId="000001D7" w14:textId="77777777" w:rsidR="00474B94" w:rsidRDefault="007952C8">
    <w:pPr>
      <w:pBdr>
        <w:top w:val="nil"/>
        <w:left w:val="nil"/>
        <w:bottom w:val="nil"/>
        <w:right w:val="nil"/>
        <w:between w:val="nil"/>
      </w:pBdr>
      <w:tabs>
        <w:tab w:val="center" w:pos="4536"/>
        <w:tab w:val="right" w:pos="9072"/>
        <w:tab w:val="left" w:pos="5572"/>
      </w:tabs>
      <w:rPr>
        <w:rFonts w:ascii="Calibri" w:eastAsia="Calibri" w:hAnsi="Calibri" w:cs="Calibri"/>
        <w:sz w:val="18"/>
        <w:szCs w:val="18"/>
      </w:rPr>
    </w:pPr>
    <w:r>
      <w:rPr>
        <w:rFonts w:ascii="Calibri" w:eastAsia="Calibri" w:hAnsi="Calibri" w:cs="Calibri"/>
        <w:sz w:val="18"/>
        <w:szCs w:val="18"/>
      </w:rPr>
      <w:tab/>
    </w:r>
  </w:p>
  <w:p w14:paraId="000001D8" w14:textId="77777777" w:rsidR="00474B94" w:rsidRDefault="00474B94">
    <w:pPr>
      <w:pBdr>
        <w:top w:val="nil"/>
        <w:left w:val="nil"/>
        <w:bottom w:val="nil"/>
        <w:right w:val="nil"/>
        <w:between w:val="nil"/>
      </w:pBdr>
      <w:tabs>
        <w:tab w:val="center" w:pos="4536"/>
        <w:tab w:val="right" w:pos="9072"/>
      </w:tabs>
      <w:rPr>
        <w:rFonts w:ascii="Calibri" w:eastAsia="Calibri" w:hAnsi="Calibri" w:cs="Calibri"/>
        <w:sz w:val="18"/>
        <w:szCs w:val="18"/>
      </w:rPr>
    </w:pPr>
  </w:p>
  <w:p w14:paraId="000001D9" w14:textId="77777777" w:rsidR="00474B94" w:rsidRDefault="007952C8">
    <w:pPr>
      <w:pBdr>
        <w:top w:val="nil"/>
        <w:left w:val="nil"/>
        <w:bottom w:val="nil"/>
        <w:right w:val="nil"/>
        <w:between w:val="nil"/>
      </w:pBdr>
      <w:tabs>
        <w:tab w:val="center" w:pos="4536"/>
        <w:tab w:val="right" w:pos="9072"/>
      </w:tabs>
      <w:jc w:val="center"/>
      <w:rPr>
        <w:rFonts w:ascii="Calibri" w:eastAsia="Calibri" w:hAnsi="Calibri" w:cs="Calibri"/>
        <w:sz w:val="18"/>
        <w:szCs w:val="18"/>
      </w:rPr>
    </w:pPr>
    <w:r>
      <w:rPr>
        <w:rFonts w:ascii="Calibri" w:eastAsia="Calibri" w:hAnsi="Calibri" w:cs="Calibri"/>
        <w:sz w:val="18"/>
        <w:szCs w:val="18"/>
      </w:rPr>
      <w:t xml:space="preserve">Strana </w:t>
    </w:r>
    <w:r>
      <w:rPr>
        <w:rFonts w:ascii="Calibri" w:eastAsia="Calibri" w:hAnsi="Calibri" w:cs="Calibri"/>
        <w:sz w:val="18"/>
        <w:szCs w:val="18"/>
      </w:rPr>
      <w:fldChar w:fldCharType="begin"/>
    </w:r>
    <w:r>
      <w:rPr>
        <w:rFonts w:ascii="Calibri" w:eastAsia="Calibri" w:hAnsi="Calibri" w:cs="Calibri"/>
        <w:sz w:val="18"/>
        <w:szCs w:val="18"/>
      </w:rPr>
      <w:instrText>PAGE</w:instrText>
    </w:r>
    <w:r>
      <w:rPr>
        <w:rFonts w:ascii="Calibri" w:eastAsia="Calibri" w:hAnsi="Calibri" w:cs="Calibri"/>
        <w:sz w:val="18"/>
        <w:szCs w:val="18"/>
      </w:rPr>
      <w:fldChar w:fldCharType="separate"/>
    </w:r>
    <w:r w:rsidR="00B13AC3">
      <w:rPr>
        <w:rFonts w:ascii="Calibri" w:eastAsia="Calibri" w:hAnsi="Calibri" w:cs="Calibri"/>
        <w:noProof/>
        <w:sz w:val="18"/>
        <w:szCs w:val="18"/>
      </w:rPr>
      <w:t>17</w:t>
    </w:r>
    <w:r>
      <w:rPr>
        <w:rFonts w:ascii="Calibri" w:eastAsia="Calibri" w:hAnsi="Calibri" w:cs="Calibri"/>
        <w:sz w:val="18"/>
        <w:szCs w:val="18"/>
      </w:rPr>
      <w:fldChar w:fldCharType="end"/>
    </w:r>
    <w:r>
      <w:rPr>
        <w:rFonts w:ascii="Calibri" w:eastAsia="Calibri" w:hAnsi="Calibri" w:cs="Calibri"/>
        <w:sz w:val="18"/>
        <w:szCs w:val="18"/>
      </w:rPr>
      <w:t xml:space="preserve"> z </w:t>
    </w:r>
    <w:r>
      <w:rPr>
        <w:rFonts w:ascii="Calibri" w:eastAsia="Calibri" w:hAnsi="Calibri" w:cs="Calibri"/>
        <w:sz w:val="18"/>
        <w:szCs w:val="18"/>
      </w:rPr>
      <w:fldChar w:fldCharType="begin"/>
    </w:r>
    <w:r>
      <w:rPr>
        <w:rFonts w:ascii="Calibri" w:eastAsia="Calibri" w:hAnsi="Calibri" w:cs="Calibri"/>
        <w:sz w:val="18"/>
        <w:szCs w:val="18"/>
      </w:rPr>
      <w:instrText>NUMPAGES</w:instrText>
    </w:r>
    <w:r>
      <w:rPr>
        <w:rFonts w:ascii="Calibri" w:eastAsia="Calibri" w:hAnsi="Calibri" w:cs="Calibri"/>
        <w:sz w:val="18"/>
        <w:szCs w:val="18"/>
      </w:rPr>
      <w:fldChar w:fldCharType="separate"/>
    </w:r>
    <w:r w:rsidR="00B13AC3">
      <w:rPr>
        <w:rFonts w:ascii="Calibri" w:eastAsia="Calibri" w:hAnsi="Calibri" w:cs="Calibri"/>
        <w:noProof/>
        <w:sz w:val="18"/>
        <w:szCs w:val="18"/>
      </w:rPr>
      <w:t>17</w:t>
    </w:r>
    <w:r>
      <w:rPr>
        <w:rFonts w:ascii="Calibri" w:eastAsia="Calibri" w:hAnsi="Calibri" w:cs="Calibri"/>
        <w:sz w:val="18"/>
        <w:szCs w:val="18"/>
      </w:rPr>
      <w:fldChar w:fldCharType="end"/>
    </w:r>
  </w:p>
  <w:p w14:paraId="000001DA" w14:textId="77777777" w:rsidR="00474B94" w:rsidRDefault="00474B94">
    <w:pPr>
      <w:pBdr>
        <w:top w:val="nil"/>
        <w:left w:val="nil"/>
        <w:bottom w:val="nil"/>
        <w:right w:val="nil"/>
        <w:between w:val="nil"/>
      </w:pBdr>
      <w:tabs>
        <w:tab w:val="center" w:pos="4536"/>
        <w:tab w:val="right" w:pos="9072"/>
        <w:tab w:val="right" w:pos="904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B" w14:textId="77777777" w:rsidR="00474B94" w:rsidRDefault="00474B94">
    <w:pPr>
      <w:pBdr>
        <w:top w:val="nil"/>
        <w:left w:val="nil"/>
        <w:bottom w:val="nil"/>
        <w:right w:val="nil"/>
        <w:between w:val="nil"/>
      </w:pBdr>
      <w:tabs>
        <w:tab w:val="center" w:pos="4536"/>
        <w:tab w:val="right" w:pos="9072"/>
      </w:tabs>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B1EC9" w14:textId="77777777" w:rsidR="00E577E7" w:rsidRDefault="00E577E7">
      <w:r>
        <w:separator/>
      </w:r>
    </w:p>
  </w:footnote>
  <w:footnote w:type="continuationSeparator" w:id="0">
    <w:p w14:paraId="1AC1134A" w14:textId="77777777" w:rsidR="00E577E7" w:rsidRDefault="00E57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1" w14:textId="77777777" w:rsidR="00474B94" w:rsidRDefault="00474B94">
    <w:pPr>
      <w:pBdr>
        <w:top w:val="nil"/>
        <w:left w:val="nil"/>
        <w:bottom w:val="nil"/>
        <w:right w:val="nil"/>
        <w:between w:val="nil"/>
      </w:pBdr>
      <w:tabs>
        <w:tab w:val="center" w:pos="4536"/>
        <w:tab w:val="right" w:pos="9072"/>
      </w:tabs>
      <w:rPr>
        <w:rFonts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2" w14:textId="77777777" w:rsidR="00474B94" w:rsidRDefault="00474B94">
    <w:pPr>
      <w:pBdr>
        <w:top w:val="nil"/>
        <w:left w:val="nil"/>
        <w:bottom w:val="nil"/>
        <w:right w:val="nil"/>
        <w:between w:val="nil"/>
      </w:pBdr>
      <w:tabs>
        <w:tab w:val="center" w:pos="4536"/>
        <w:tab w:val="right" w:pos="9072"/>
      </w:tabs>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3" w14:textId="77777777" w:rsidR="00474B94" w:rsidRDefault="00474B94">
    <w:pPr>
      <w:pBdr>
        <w:top w:val="nil"/>
        <w:left w:val="nil"/>
        <w:bottom w:val="nil"/>
        <w:right w:val="nil"/>
        <w:between w:val="nil"/>
      </w:pBdr>
      <w:tabs>
        <w:tab w:val="center" w:pos="4536"/>
        <w:tab w:val="right" w:pos="9072"/>
      </w:tabs>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22AEF"/>
    <w:multiLevelType w:val="multilevel"/>
    <w:tmpl w:val="93F80482"/>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245343"/>
    <w:multiLevelType w:val="multilevel"/>
    <w:tmpl w:val="15B65832"/>
    <w:lvl w:ilvl="0">
      <w:start w:val="1"/>
      <w:numFmt w:val="low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 w15:restartNumberingAfterBreak="0">
    <w:nsid w:val="0F3F1364"/>
    <w:multiLevelType w:val="multilevel"/>
    <w:tmpl w:val="50589FF4"/>
    <w:lvl w:ilvl="0">
      <w:start w:val="1"/>
      <w:numFmt w:val="decimal"/>
      <w:pStyle w:val="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Register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1E22F4"/>
    <w:multiLevelType w:val="multilevel"/>
    <w:tmpl w:val="3482E3D6"/>
    <w:lvl w:ilvl="0">
      <w:start w:val="1"/>
      <w:numFmt w:val="bullet"/>
      <w:lvlText w:val="●"/>
      <w:lvlJc w:val="left"/>
      <w:pPr>
        <w:ind w:left="1202" w:hanging="360"/>
      </w:pPr>
      <w:rPr>
        <w:rFonts w:ascii="Noto Sans Symbols" w:eastAsia="Noto Sans Symbols" w:hAnsi="Noto Sans Symbols" w:cs="Noto Sans Symbols"/>
      </w:rPr>
    </w:lvl>
    <w:lvl w:ilvl="1">
      <w:start w:val="1"/>
      <w:numFmt w:val="bullet"/>
      <w:lvlText w:val="o"/>
      <w:lvlJc w:val="left"/>
      <w:pPr>
        <w:ind w:left="1922" w:hanging="360"/>
      </w:pPr>
      <w:rPr>
        <w:rFonts w:ascii="Courier New" w:eastAsia="Courier New" w:hAnsi="Courier New" w:cs="Courier New"/>
      </w:rPr>
    </w:lvl>
    <w:lvl w:ilvl="2">
      <w:start w:val="1"/>
      <w:numFmt w:val="bullet"/>
      <w:lvlText w:val="▪"/>
      <w:lvlJc w:val="left"/>
      <w:pPr>
        <w:ind w:left="2642" w:hanging="360"/>
      </w:pPr>
      <w:rPr>
        <w:rFonts w:ascii="Noto Sans Symbols" w:eastAsia="Noto Sans Symbols" w:hAnsi="Noto Sans Symbols" w:cs="Noto Sans Symbols"/>
      </w:rPr>
    </w:lvl>
    <w:lvl w:ilvl="3">
      <w:start w:val="1"/>
      <w:numFmt w:val="bullet"/>
      <w:lvlText w:val="●"/>
      <w:lvlJc w:val="left"/>
      <w:pPr>
        <w:ind w:left="3362" w:hanging="360"/>
      </w:pPr>
      <w:rPr>
        <w:rFonts w:ascii="Noto Sans Symbols" w:eastAsia="Noto Sans Symbols" w:hAnsi="Noto Sans Symbols" w:cs="Noto Sans Symbols"/>
      </w:rPr>
    </w:lvl>
    <w:lvl w:ilvl="4">
      <w:start w:val="1"/>
      <w:numFmt w:val="bullet"/>
      <w:lvlText w:val="o"/>
      <w:lvlJc w:val="left"/>
      <w:pPr>
        <w:ind w:left="4082" w:hanging="360"/>
      </w:pPr>
      <w:rPr>
        <w:rFonts w:ascii="Courier New" w:eastAsia="Courier New" w:hAnsi="Courier New" w:cs="Courier New"/>
      </w:rPr>
    </w:lvl>
    <w:lvl w:ilvl="5">
      <w:start w:val="1"/>
      <w:numFmt w:val="bullet"/>
      <w:lvlText w:val="▪"/>
      <w:lvlJc w:val="left"/>
      <w:pPr>
        <w:ind w:left="4802" w:hanging="360"/>
      </w:pPr>
      <w:rPr>
        <w:rFonts w:ascii="Noto Sans Symbols" w:eastAsia="Noto Sans Symbols" w:hAnsi="Noto Sans Symbols" w:cs="Noto Sans Symbols"/>
      </w:rPr>
    </w:lvl>
    <w:lvl w:ilvl="6">
      <w:start w:val="1"/>
      <w:numFmt w:val="bullet"/>
      <w:lvlText w:val="●"/>
      <w:lvlJc w:val="left"/>
      <w:pPr>
        <w:ind w:left="5522" w:hanging="360"/>
      </w:pPr>
      <w:rPr>
        <w:rFonts w:ascii="Noto Sans Symbols" w:eastAsia="Noto Sans Symbols" w:hAnsi="Noto Sans Symbols" w:cs="Noto Sans Symbols"/>
      </w:rPr>
    </w:lvl>
    <w:lvl w:ilvl="7">
      <w:start w:val="1"/>
      <w:numFmt w:val="bullet"/>
      <w:lvlText w:val="o"/>
      <w:lvlJc w:val="left"/>
      <w:pPr>
        <w:ind w:left="6242" w:hanging="360"/>
      </w:pPr>
      <w:rPr>
        <w:rFonts w:ascii="Courier New" w:eastAsia="Courier New" w:hAnsi="Courier New" w:cs="Courier New"/>
      </w:rPr>
    </w:lvl>
    <w:lvl w:ilvl="8">
      <w:start w:val="1"/>
      <w:numFmt w:val="bullet"/>
      <w:lvlText w:val="▪"/>
      <w:lvlJc w:val="left"/>
      <w:pPr>
        <w:ind w:left="6962" w:hanging="360"/>
      </w:pPr>
      <w:rPr>
        <w:rFonts w:ascii="Noto Sans Symbols" w:eastAsia="Noto Sans Symbols" w:hAnsi="Noto Sans Symbols" w:cs="Noto Sans Symbols"/>
      </w:rPr>
    </w:lvl>
  </w:abstractNum>
  <w:abstractNum w:abstractNumId="4" w15:restartNumberingAfterBreak="0">
    <w:nsid w:val="140365F2"/>
    <w:multiLevelType w:val="multilevel"/>
    <w:tmpl w:val="5D5273E4"/>
    <w:lvl w:ilvl="0">
      <w:start w:val="7"/>
      <w:numFmt w:val="bullet"/>
      <w:lvlText w:val="-"/>
      <w:lvlJc w:val="left"/>
      <w:pPr>
        <w:ind w:left="432" w:hanging="360"/>
      </w:pPr>
      <w:rPr>
        <w:rFonts w:ascii="Calibri" w:eastAsia="Calibri" w:hAnsi="Calibri" w:cs="Calibri"/>
      </w:rPr>
    </w:lvl>
    <w:lvl w:ilvl="1">
      <w:start w:val="1"/>
      <w:numFmt w:val="bullet"/>
      <w:lvlText w:val="o"/>
      <w:lvlJc w:val="left"/>
      <w:pPr>
        <w:ind w:left="1152" w:hanging="360"/>
      </w:pPr>
      <w:rPr>
        <w:rFonts w:ascii="Courier New" w:eastAsia="Courier New" w:hAnsi="Courier New" w:cs="Courier New"/>
      </w:rPr>
    </w:lvl>
    <w:lvl w:ilvl="2">
      <w:start w:val="1"/>
      <w:numFmt w:val="bullet"/>
      <w:lvlText w:val="▪"/>
      <w:lvlJc w:val="left"/>
      <w:pPr>
        <w:ind w:left="1872" w:hanging="360"/>
      </w:pPr>
      <w:rPr>
        <w:rFonts w:ascii="Noto Sans Symbols" w:eastAsia="Noto Sans Symbols" w:hAnsi="Noto Sans Symbols" w:cs="Noto Sans Symbols"/>
      </w:rPr>
    </w:lvl>
    <w:lvl w:ilvl="3">
      <w:start w:val="1"/>
      <w:numFmt w:val="bullet"/>
      <w:lvlText w:val="●"/>
      <w:lvlJc w:val="left"/>
      <w:pPr>
        <w:ind w:left="2592" w:hanging="360"/>
      </w:pPr>
      <w:rPr>
        <w:rFonts w:ascii="Noto Sans Symbols" w:eastAsia="Noto Sans Symbols" w:hAnsi="Noto Sans Symbols" w:cs="Noto Sans Symbols"/>
      </w:rPr>
    </w:lvl>
    <w:lvl w:ilvl="4">
      <w:start w:val="1"/>
      <w:numFmt w:val="bullet"/>
      <w:lvlText w:val="o"/>
      <w:lvlJc w:val="left"/>
      <w:pPr>
        <w:ind w:left="3312" w:hanging="360"/>
      </w:pPr>
      <w:rPr>
        <w:rFonts w:ascii="Courier New" w:eastAsia="Courier New" w:hAnsi="Courier New" w:cs="Courier New"/>
      </w:rPr>
    </w:lvl>
    <w:lvl w:ilvl="5">
      <w:start w:val="1"/>
      <w:numFmt w:val="bullet"/>
      <w:lvlText w:val="▪"/>
      <w:lvlJc w:val="left"/>
      <w:pPr>
        <w:ind w:left="4032" w:hanging="360"/>
      </w:pPr>
      <w:rPr>
        <w:rFonts w:ascii="Noto Sans Symbols" w:eastAsia="Noto Sans Symbols" w:hAnsi="Noto Sans Symbols" w:cs="Noto Sans Symbols"/>
      </w:rPr>
    </w:lvl>
    <w:lvl w:ilvl="6">
      <w:start w:val="1"/>
      <w:numFmt w:val="bullet"/>
      <w:lvlText w:val="●"/>
      <w:lvlJc w:val="left"/>
      <w:pPr>
        <w:ind w:left="4752" w:hanging="360"/>
      </w:pPr>
      <w:rPr>
        <w:rFonts w:ascii="Noto Sans Symbols" w:eastAsia="Noto Sans Symbols" w:hAnsi="Noto Sans Symbols" w:cs="Noto Sans Symbols"/>
      </w:rPr>
    </w:lvl>
    <w:lvl w:ilvl="7">
      <w:start w:val="1"/>
      <w:numFmt w:val="bullet"/>
      <w:lvlText w:val="o"/>
      <w:lvlJc w:val="left"/>
      <w:pPr>
        <w:ind w:left="5472" w:hanging="360"/>
      </w:pPr>
      <w:rPr>
        <w:rFonts w:ascii="Courier New" w:eastAsia="Courier New" w:hAnsi="Courier New" w:cs="Courier New"/>
      </w:rPr>
    </w:lvl>
    <w:lvl w:ilvl="8">
      <w:start w:val="1"/>
      <w:numFmt w:val="bullet"/>
      <w:lvlText w:val="▪"/>
      <w:lvlJc w:val="left"/>
      <w:pPr>
        <w:ind w:left="6192" w:hanging="360"/>
      </w:pPr>
      <w:rPr>
        <w:rFonts w:ascii="Noto Sans Symbols" w:eastAsia="Noto Sans Symbols" w:hAnsi="Noto Sans Symbols" w:cs="Noto Sans Symbols"/>
      </w:rPr>
    </w:lvl>
  </w:abstractNum>
  <w:abstractNum w:abstractNumId="5" w15:restartNumberingAfterBreak="0">
    <w:nsid w:val="16E2028C"/>
    <w:multiLevelType w:val="multilevel"/>
    <w:tmpl w:val="E39EC2C6"/>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53774D"/>
    <w:multiLevelType w:val="multilevel"/>
    <w:tmpl w:val="165889AA"/>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123257"/>
    <w:multiLevelType w:val="multilevel"/>
    <w:tmpl w:val="07689C2E"/>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490527"/>
    <w:multiLevelType w:val="multilevel"/>
    <w:tmpl w:val="AF8E45E0"/>
    <w:lvl w:ilvl="0">
      <w:start w:val="1"/>
      <w:numFmt w:val="decimal"/>
      <w:lvlText w:val="%1."/>
      <w:lvlJc w:val="left"/>
      <w:pPr>
        <w:ind w:left="360" w:hanging="360"/>
      </w:pPr>
      <w:rPr>
        <w:rFonts w:ascii="Calibri" w:eastAsia="Calibri" w:hAnsi="Calibri" w:cs="Calibri"/>
        <w:sz w:val="22"/>
        <w:szCs w:val="22"/>
        <w:u w:val="none"/>
      </w:r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EBB1954"/>
    <w:multiLevelType w:val="multilevel"/>
    <w:tmpl w:val="B67418C4"/>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4C0124"/>
    <w:multiLevelType w:val="multilevel"/>
    <w:tmpl w:val="C1D8F3C8"/>
    <w:lvl w:ilvl="0">
      <w:start w:val="4"/>
      <w:numFmt w:val="decimal"/>
      <w:lvlText w:val="%1."/>
      <w:lvlJc w:val="left"/>
      <w:pPr>
        <w:ind w:left="360" w:hanging="360"/>
      </w:pPr>
      <w:rPr>
        <w:rFonts w:ascii="Calibri" w:eastAsia="Calibri" w:hAnsi="Calibri" w:cs="Calibri"/>
        <w:b w:val="0"/>
        <w:sz w:val="22"/>
        <w:szCs w:val="22"/>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7C44962"/>
    <w:multiLevelType w:val="multilevel"/>
    <w:tmpl w:val="0FBE59F4"/>
    <w:lvl w:ilvl="0">
      <w:start w:val="1"/>
      <w:numFmt w:val="lowerLetter"/>
      <w:lvlText w:val="%1)"/>
      <w:lvlJc w:val="left"/>
      <w:pPr>
        <w:ind w:left="19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114A35"/>
    <w:multiLevelType w:val="multilevel"/>
    <w:tmpl w:val="29DE7854"/>
    <w:lvl w:ilvl="0">
      <w:start w:val="1"/>
      <w:numFmt w:val="low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3" w15:restartNumberingAfterBreak="0">
    <w:nsid w:val="36983134"/>
    <w:multiLevelType w:val="multilevel"/>
    <w:tmpl w:val="85F8FBD0"/>
    <w:lvl w:ilvl="0">
      <w:start w:val="1"/>
      <w:numFmt w:val="lowerLetter"/>
      <w:lvlText w:val="%1)"/>
      <w:lvlJc w:val="left"/>
      <w:pPr>
        <w:ind w:left="1860" w:hanging="360"/>
      </w:pPr>
      <w:rPr>
        <w:rFonts w:ascii="Calibri" w:eastAsia="Calibri" w:hAnsi="Calibri" w:cs="Calibri"/>
        <w:b w:val="0"/>
        <w:sz w:val="22"/>
        <w:szCs w:val="22"/>
        <w:u w:val="none"/>
      </w:rPr>
    </w:lvl>
    <w:lvl w:ilvl="1">
      <w:start w:val="1"/>
      <w:numFmt w:val="lowerLetter"/>
      <w:lvlText w:val="%2."/>
      <w:lvlJc w:val="left"/>
      <w:pPr>
        <w:ind w:left="2580" w:hanging="360"/>
      </w:pPr>
    </w:lvl>
    <w:lvl w:ilvl="2">
      <w:start w:val="1"/>
      <w:numFmt w:val="lowerRoman"/>
      <w:lvlText w:val="%3."/>
      <w:lvlJc w:val="right"/>
      <w:pPr>
        <w:ind w:left="3300" w:hanging="180"/>
      </w:pPr>
    </w:lvl>
    <w:lvl w:ilvl="3">
      <w:start w:val="1"/>
      <w:numFmt w:val="decimal"/>
      <w:lvlText w:val="%4."/>
      <w:lvlJc w:val="left"/>
      <w:pPr>
        <w:ind w:left="4020" w:hanging="360"/>
      </w:pPr>
    </w:lvl>
    <w:lvl w:ilvl="4">
      <w:start w:val="1"/>
      <w:numFmt w:val="lowerLetter"/>
      <w:lvlText w:val="%5."/>
      <w:lvlJc w:val="left"/>
      <w:pPr>
        <w:ind w:left="4740" w:hanging="360"/>
      </w:pPr>
    </w:lvl>
    <w:lvl w:ilvl="5">
      <w:start w:val="1"/>
      <w:numFmt w:val="lowerRoman"/>
      <w:lvlText w:val="%6."/>
      <w:lvlJc w:val="right"/>
      <w:pPr>
        <w:ind w:left="5460" w:hanging="180"/>
      </w:pPr>
    </w:lvl>
    <w:lvl w:ilvl="6">
      <w:start w:val="1"/>
      <w:numFmt w:val="decimal"/>
      <w:lvlText w:val="%7."/>
      <w:lvlJc w:val="left"/>
      <w:pPr>
        <w:ind w:left="6180" w:hanging="360"/>
      </w:pPr>
    </w:lvl>
    <w:lvl w:ilvl="7">
      <w:start w:val="1"/>
      <w:numFmt w:val="lowerLetter"/>
      <w:lvlText w:val="%8."/>
      <w:lvlJc w:val="left"/>
      <w:pPr>
        <w:ind w:left="6900" w:hanging="360"/>
      </w:pPr>
    </w:lvl>
    <w:lvl w:ilvl="8">
      <w:start w:val="1"/>
      <w:numFmt w:val="lowerRoman"/>
      <w:lvlText w:val="%9."/>
      <w:lvlJc w:val="right"/>
      <w:pPr>
        <w:ind w:left="7620" w:hanging="180"/>
      </w:pPr>
    </w:lvl>
  </w:abstractNum>
  <w:abstractNum w:abstractNumId="14" w15:restartNumberingAfterBreak="0">
    <w:nsid w:val="37EB71E1"/>
    <w:multiLevelType w:val="multilevel"/>
    <w:tmpl w:val="05062ABE"/>
    <w:lvl w:ilvl="0">
      <w:start w:val="2"/>
      <w:numFmt w:val="decimal"/>
      <w:lvlText w:val="%1."/>
      <w:lvlJc w:val="left"/>
      <w:pPr>
        <w:ind w:left="927" w:hanging="360"/>
      </w:pPr>
      <w:rPr>
        <w:rFonts w:ascii="Calibri" w:eastAsia="Calibri" w:hAnsi="Calibri" w:cs="Calibri"/>
        <w:b w:val="0"/>
        <w:sz w:val="22"/>
        <w:szCs w:val="22"/>
        <w:u w:val="none"/>
      </w:rPr>
    </w:lvl>
    <w:lvl w:ilvl="1">
      <w:start w:val="1"/>
      <w:numFmt w:val="decimal"/>
      <w:lvlText w:val="%1.%2."/>
      <w:lvlJc w:val="left"/>
      <w:pPr>
        <w:ind w:left="3125"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3"/>
      </w:pPr>
    </w:lvl>
    <w:lvl w:ilvl="8">
      <w:start w:val="1"/>
      <w:numFmt w:val="decimal"/>
      <w:lvlText w:val="%1.%2.%3.%4.%5.%6.%7.%8.%9."/>
      <w:lvlJc w:val="left"/>
      <w:pPr>
        <w:ind w:left="4887" w:hanging="1440"/>
      </w:pPr>
    </w:lvl>
  </w:abstractNum>
  <w:abstractNum w:abstractNumId="15" w15:restartNumberingAfterBreak="0">
    <w:nsid w:val="3B4167F5"/>
    <w:multiLevelType w:val="multilevel"/>
    <w:tmpl w:val="CE6A649A"/>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16" w15:restartNumberingAfterBreak="0">
    <w:nsid w:val="3B7A669C"/>
    <w:multiLevelType w:val="multilevel"/>
    <w:tmpl w:val="7D0E29C0"/>
    <w:lvl w:ilvl="0">
      <w:start w:val="1"/>
      <w:numFmt w:val="lowerLetter"/>
      <w:lvlText w:val="%1)"/>
      <w:lvlJc w:val="left"/>
      <w:pPr>
        <w:ind w:left="1287" w:hanging="360"/>
      </w:pPr>
      <w:rPr>
        <w:rFonts w:ascii="Calibri" w:eastAsia="Calibri" w:hAnsi="Calibri" w:cs="Calibri"/>
        <w:b w:val="0"/>
        <w:sz w:val="22"/>
        <w:szCs w:val="22"/>
        <w:u w:val="none"/>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3DF22164"/>
    <w:multiLevelType w:val="multilevel"/>
    <w:tmpl w:val="7DD2432E"/>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8" w15:restartNumberingAfterBreak="0">
    <w:nsid w:val="40F96421"/>
    <w:multiLevelType w:val="multilevel"/>
    <w:tmpl w:val="02E0B954"/>
    <w:lvl w:ilvl="0">
      <w:start w:val="3"/>
      <w:numFmt w:val="decimal"/>
      <w:lvlText w:val="%1."/>
      <w:lvlJc w:val="left"/>
      <w:pPr>
        <w:ind w:left="927" w:hanging="360"/>
      </w:pPr>
      <w:rPr>
        <w:rFonts w:ascii="Calibri" w:eastAsia="Calibri" w:hAnsi="Calibri" w:cs="Calibri"/>
        <w:b w:val="0"/>
        <w:sz w:val="22"/>
        <w:szCs w:val="22"/>
        <w:u w:val="none"/>
      </w:rPr>
    </w:lvl>
    <w:lvl w:ilvl="1">
      <w:start w:val="1"/>
      <w:numFmt w:val="decimal"/>
      <w:lvlText w:val="%1.%2."/>
      <w:lvlJc w:val="left"/>
      <w:pPr>
        <w:ind w:left="3125"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3"/>
      </w:pPr>
    </w:lvl>
    <w:lvl w:ilvl="8">
      <w:start w:val="1"/>
      <w:numFmt w:val="decimal"/>
      <w:lvlText w:val="%1.%2.%3.%4.%5.%6.%7.%8.%9."/>
      <w:lvlJc w:val="left"/>
      <w:pPr>
        <w:ind w:left="4887" w:hanging="1440"/>
      </w:pPr>
    </w:lvl>
  </w:abstractNum>
  <w:abstractNum w:abstractNumId="19" w15:restartNumberingAfterBreak="0">
    <w:nsid w:val="43E56465"/>
    <w:multiLevelType w:val="multilevel"/>
    <w:tmpl w:val="79346256"/>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BB7A57"/>
    <w:multiLevelType w:val="multilevel"/>
    <w:tmpl w:val="42225EA6"/>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77506D"/>
    <w:multiLevelType w:val="multilevel"/>
    <w:tmpl w:val="38AEDDD8"/>
    <w:lvl w:ilvl="0">
      <w:start w:val="1"/>
      <w:numFmt w:val="bullet"/>
      <w:lvlText w:val="●"/>
      <w:lvlJc w:val="left"/>
      <w:pPr>
        <w:ind w:left="1145" w:hanging="360"/>
      </w:pPr>
      <w:rPr>
        <w:rFonts w:ascii="Noto Sans Symbols" w:eastAsia="Noto Sans Symbols" w:hAnsi="Noto Sans Symbols" w:cs="Noto Sans Symbols"/>
      </w:rPr>
    </w:lvl>
    <w:lvl w:ilvl="1">
      <w:start w:val="1"/>
      <w:numFmt w:val="bullet"/>
      <w:lvlText w:val="o"/>
      <w:lvlJc w:val="left"/>
      <w:pPr>
        <w:ind w:left="1865" w:hanging="360"/>
      </w:pPr>
      <w:rPr>
        <w:rFonts w:ascii="Courier New" w:eastAsia="Courier New" w:hAnsi="Courier New" w:cs="Courier New"/>
      </w:rPr>
    </w:lvl>
    <w:lvl w:ilvl="2">
      <w:start w:val="1"/>
      <w:numFmt w:val="bullet"/>
      <w:lvlText w:val="▪"/>
      <w:lvlJc w:val="left"/>
      <w:pPr>
        <w:ind w:left="2585" w:hanging="360"/>
      </w:pPr>
      <w:rPr>
        <w:rFonts w:ascii="Noto Sans Symbols" w:eastAsia="Noto Sans Symbols" w:hAnsi="Noto Sans Symbols" w:cs="Noto Sans Symbols"/>
      </w:rPr>
    </w:lvl>
    <w:lvl w:ilvl="3">
      <w:start w:val="1"/>
      <w:numFmt w:val="bullet"/>
      <w:lvlText w:val="●"/>
      <w:lvlJc w:val="left"/>
      <w:pPr>
        <w:ind w:left="3305" w:hanging="360"/>
      </w:pPr>
      <w:rPr>
        <w:rFonts w:ascii="Noto Sans Symbols" w:eastAsia="Noto Sans Symbols" w:hAnsi="Noto Sans Symbols" w:cs="Noto Sans Symbols"/>
      </w:rPr>
    </w:lvl>
    <w:lvl w:ilvl="4">
      <w:start w:val="1"/>
      <w:numFmt w:val="bullet"/>
      <w:lvlText w:val="o"/>
      <w:lvlJc w:val="left"/>
      <w:pPr>
        <w:ind w:left="4025" w:hanging="360"/>
      </w:pPr>
      <w:rPr>
        <w:rFonts w:ascii="Courier New" w:eastAsia="Courier New" w:hAnsi="Courier New" w:cs="Courier New"/>
      </w:rPr>
    </w:lvl>
    <w:lvl w:ilvl="5">
      <w:start w:val="1"/>
      <w:numFmt w:val="bullet"/>
      <w:lvlText w:val="▪"/>
      <w:lvlJc w:val="left"/>
      <w:pPr>
        <w:ind w:left="4745" w:hanging="360"/>
      </w:pPr>
      <w:rPr>
        <w:rFonts w:ascii="Noto Sans Symbols" w:eastAsia="Noto Sans Symbols" w:hAnsi="Noto Sans Symbols" w:cs="Noto Sans Symbols"/>
      </w:rPr>
    </w:lvl>
    <w:lvl w:ilvl="6">
      <w:start w:val="1"/>
      <w:numFmt w:val="bullet"/>
      <w:lvlText w:val="●"/>
      <w:lvlJc w:val="left"/>
      <w:pPr>
        <w:ind w:left="5465" w:hanging="360"/>
      </w:pPr>
      <w:rPr>
        <w:rFonts w:ascii="Noto Sans Symbols" w:eastAsia="Noto Sans Symbols" w:hAnsi="Noto Sans Symbols" w:cs="Noto Sans Symbols"/>
      </w:rPr>
    </w:lvl>
    <w:lvl w:ilvl="7">
      <w:start w:val="1"/>
      <w:numFmt w:val="bullet"/>
      <w:lvlText w:val="o"/>
      <w:lvlJc w:val="left"/>
      <w:pPr>
        <w:ind w:left="6185" w:hanging="360"/>
      </w:pPr>
      <w:rPr>
        <w:rFonts w:ascii="Courier New" w:eastAsia="Courier New" w:hAnsi="Courier New" w:cs="Courier New"/>
      </w:rPr>
    </w:lvl>
    <w:lvl w:ilvl="8">
      <w:start w:val="1"/>
      <w:numFmt w:val="bullet"/>
      <w:lvlText w:val="▪"/>
      <w:lvlJc w:val="left"/>
      <w:pPr>
        <w:ind w:left="6905" w:hanging="360"/>
      </w:pPr>
      <w:rPr>
        <w:rFonts w:ascii="Noto Sans Symbols" w:eastAsia="Noto Sans Symbols" w:hAnsi="Noto Sans Symbols" w:cs="Noto Sans Symbols"/>
      </w:rPr>
    </w:lvl>
  </w:abstractNum>
  <w:abstractNum w:abstractNumId="22" w15:restartNumberingAfterBreak="0">
    <w:nsid w:val="53216862"/>
    <w:multiLevelType w:val="multilevel"/>
    <w:tmpl w:val="7A4081E4"/>
    <w:lvl w:ilvl="0">
      <w:start w:val="1"/>
      <w:numFmt w:val="decimal"/>
      <w:lvlText w:val="%1."/>
      <w:lvlJc w:val="left"/>
      <w:pPr>
        <w:ind w:left="360" w:hanging="360"/>
      </w:pPr>
      <w:rPr>
        <w:rFonts w:ascii="Calibri" w:eastAsia="Calibri" w:hAnsi="Calibri" w:cs="Calibri"/>
        <w:b w:val="0"/>
        <w:sz w:val="22"/>
        <w:szCs w:val="22"/>
        <w:u w:val="none"/>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E3561B"/>
    <w:multiLevelType w:val="multilevel"/>
    <w:tmpl w:val="49C09FE2"/>
    <w:lvl w:ilvl="0">
      <w:start w:val="1"/>
      <w:numFmt w:val="lowerLetter"/>
      <w:lvlText w:val="%1)"/>
      <w:lvlJc w:val="left"/>
      <w:pPr>
        <w:ind w:left="1290" w:hanging="360"/>
      </w:pPr>
      <w:rPr>
        <w:rFonts w:ascii="Calibri" w:eastAsia="Calibri" w:hAnsi="Calibri" w:cs="Calibri"/>
        <w:b w:val="0"/>
        <w:sz w:val="22"/>
        <w:szCs w:val="22"/>
      </w:rPr>
    </w:lvl>
    <w:lvl w:ilvl="1">
      <w:start w:val="1"/>
      <w:numFmt w:val="lowerLetter"/>
      <w:lvlText w:val="%2."/>
      <w:lvlJc w:val="left"/>
      <w:pPr>
        <w:ind w:left="2010" w:hanging="360"/>
      </w:pPr>
    </w:lvl>
    <w:lvl w:ilvl="2">
      <w:start w:val="1"/>
      <w:numFmt w:val="lowerRoman"/>
      <w:lvlText w:val="%3."/>
      <w:lvlJc w:val="right"/>
      <w:pPr>
        <w:ind w:left="2730" w:hanging="180"/>
      </w:pPr>
    </w:lvl>
    <w:lvl w:ilvl="3">
      <w:start w:val="1"/>
      <w:numFmt w:val="decimal"/>
      <w:lvlText w:val="%4."/>
      <w:lvlJc w:val="left"/>
      <w:pPr>
        <w:ind w:left="3450" w:hanging="360"/>
      </w:pPr>
    </w:lvl>
    <w:lvl w:ilvl="4">
      <w:start w:val="1"/>
      <w:numFmt w:val="lowerLetter"/>
      <w:lvlText w:val="%5."/>
      <w:lvlJc w:val="left"/>
      <w:pPr>
        <w:ind w:left="4170" w:hanging="360"/>
      </w:pPr>
    </w:lvl>
    <w:lvl w:ilvl="5">
      <w:start w:val="1"/>
      <w:numFmt w:val="lowerRoman"/>
      <w:lvlText w:val="%6."/>
      <w:lvlJc w:val="right"/>
      <w:pPr>
        <w:ind w:left="4890" w:hanging="180"/>
      </w:pPr>
    </w:lvl>
    <w:lvl w:ilvl="6">
      <w:start w:val="1"/>
      <w:numFmt w:val="decimal"/>
      <w:lvlText w:val="%7."/>
      <w:lvlJc w:val="left"/>
      <w:pPr>
        <w:ind w:left="5610" w:hanging="360"/>
      </w:pPr>
    </w:lvl>
    <w:lvl w:ilvl="7">
      <w:start w:val="1"/>
      <w:numFmt w:val="lowerLetter"/>
      <w:lvlText w:val="%8."/>
      <w:lvlJc w:val="left"/>
      <w:pPr>
        <w:ind w:left="6330" w:hanging="360"/>
      </w:pPr>
    </w:lvl>
    <w:lvl w:ilvl="8">
      <w:start w:val="1"/>
      <w:numFmt w:val="lowerRoman"/>
      <w:lvlText w:val="%9."/>
      <w:lvlJc w:val="right"/>
      <w:pPr>
        <w:ind w:left="7050" w:hanging="180"/>
      </w:pPr>
    </w:lvl>
  </w:abstractNum>
  <w:abstractNum w:abstractNumId="24" w15:restartNumberingAfterBreak="0">
    <w:nsid w:val="5B3E260D"/>
    <w:multiLevelType w:val="multilevel"/>
    <w:tmpl w:val="F5729A48"/>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EF5FB7"/>
    <w:multiLevelType w:val="multilevel"/>
    <w:tmpl w:val="699E359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636B422D"/>
    <w:multiLevelType w:val="multilevel"/>
    <w:tmpl w:val="F10615EC"/>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2D61F3"/>
    <w:multiLevelType w:val="hybridMultilevel"/>
    <w:tmpl w:val="FC8AF40E"/>
    <w:lvl w:ilvl="0" w:tplc="041B0001">
      <w:start w:val="1"/>
      <w:numFmt w:val="bullet"/>
      <w:lvlText w:val=""/>
      <w:lvlJc w:val="left"/>
      <w:pPr>
        <w:ind w:left="1215" w:hanging="360"/>
      </w:pPr>
      <w:rPr>
        <w:rFonts w:ascii="Symbol" w:hAnsi="Symbol" w:hint="default"/>
      </w:rPr>
    </w:lvl>
    <w:lvl w:ilvl="1" w:tplc="041B0003" w:tentative="1">
      <w:start w:val="1"/>
      <w:numFmt w:val="bullet"/>
      <w:lvlText w:val="o"/>
      <w:lvlJc w:val="left"/>
      <w:pPr>
        <w:ind w:left="1935" w:hanging="360"/>
      </w:pPr>
      <w:rPr>
        <w:rFonts w:ascii="Courier New" w:hAnsi="Courier New" w:cs="Courier New" w:hint="default"/>
      </w:rPr>
    </w:lvl>
    <w:lvl w:ilvl="2" w:tplc="041B0005" w:tentative="1">
      <w:start w:val="1"/>
      <w:numFmt w:val="bullet"/>
      <w:lvlText w:val=""/>
      <w:lvlJc w:val="left"/>
      <w:pPr>
        <w:ind w:left="2655" w:hanging="360"/>
      </w:pPr>
      <w:rPr>
        <w:rFonts w:ascii="Wingdings" w:hAnsi="Wingdings" w:hint="default"/>
      </w:rPr>
    </w:lvl>
    <w:lvl w:ilvl="3" w:tplc="041B0001" w:tentative="1">
      <w:start w:val="1"/>
      <w:numFmt w:val="bullet"/>
      <w:lvlText w:val=""/>
      <w:lvlJc w:val="left"/>
      <w:pPr>
        <w:ind w:left="3375" w:hanging="360"/>
      </w:pPr>
      <w:rPr>
        <w:rFonts w:ascii="Symbol" w:hAnsi="Symbol" w:hint="default"/>
      </w:rPr>
    </w:lvl>
    <w:lvl w:ilvl="4" w:tplc="041B0003" w:tentative="1">
      <w:start w:val="1"/>
      <w:numFmt w:val="bullet"/>
      <w:lvlText w:val="o"/>
      <w:lvlJc w:val="left"/>
      <w:pPr>
        <w:ind w:left="4095" w:hanging="360"/>
      </w:pPr>
      <w:rPr>
        <w:rFonts w:ascii="Courier New" w:hAnsi="Courier New" w:cs="Courier New" w:hint="default"/>
      </w:rPr>
    </w:lvl>
    <w:lvl w:ilvl="5" w:tplc="041B0005" w:tentative="1">
      <w:start w:val="1"/>
      <w:numFmt w:val="bullet"/>
      <w:lvlText w:val=""/>
      <w:lvlJc w:val="left"/>
      <w:pPr>
        <w:ind w:left="4815" w:hanging="360"/>
      </w:pPr>
      <w:rPr>
        <w:rFonts w:ascii="Wingdings" w:hAnsi="Wingdings" w:hint="default"/>
      </w:rPr>
    </w:lvl>
    <w:lvl w:ilvl="6" w:tplc="041B0001" w:tentative="1">
      <w:start w:val="1"/>
      <w:numFmt w:val="bullet"/>
      <w:lvlText w:val=""/>
      <w:lvlJc w:val="left"/>
      <w:pPr>
        <w:ind w:left="5535" w:hanging="360"/>
      </w:pPr>
      <w:rPr>
        <w:rFonts w:ascii="Symbol" w:hAnsi="Symbol" w:hint="default"/>
      </w:rPr>
    </w:lvl>
    <w:lvl w:ilvl="7" w:tplc="041B0003" w:tentative="1">
      <w:start w:val="1"/>
      <w:numFmt w:val="bullet"/>
      <w:lvlText w:val="o"/>
      <w:lvlJc w:val="left"/>
      <w:pPr>
        <w:ind w:left="6255" w:hanging="360"/>
      </w:pPr>
      <w:rPr>
        <w:rFonts w:ascii="Courier New" w:hAnsi="Courier New" w:cs="Courier New" w:hint="default"/>
      </w:rPr>
    </w:lvl>
    <w:lvl w:ilvl="8" w:tplc="041B0005" w:tentative="1">
      <w:start w:val="1"/>
      <w:numFmt w:val="bullet"/>
      <w:lvlText w:val=""/>
      <w:lvlJc w:val="left"/>
      <w:pPr>
        <w:ind w:left="6975" w:hanging="360"/>
      </w:pPr>
      <w:rPr>
        <w:rFonts w:ascii="Wingdings" w:hAnsi="Wingdings" w:hint="default"/>
      </w:rPr>
    </w:lvl>
  </w:abstractNum>
  <w:abstractNum w:abstractNumId="28" w15:restartNumberingAfterBreak="0">
    <w:nsid w:val="6A2905C2"/>
    <w:multiLevelType w:val="multilevel"/>
    <w:tmpl w:val="37680212"/>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671CD0"/>
    <w:multiLevelType w:val="multilevel"/>
    <w:tmpl w:val="FE54A6F4"/>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F833F59"/>
    <w:multiLevelType w:val="multilevel"/>
    <w:tmpl w:val="07689C2E"/>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674D58"/>
    <w:multiLevelType w:val="multilevel"/>
    <w:tmpl w:val="CCD25110"/>
    <w:lvl w:ilvl="0">
      <w:start w:val="1"/>
      <w:numFmt w:val="decimal"/>
      <w:lvlText w:val="%1."/>
      <w:lvlJc w:val="left"/>
      <w:pPr>
        <w:ind w:left="36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1"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firstLine="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firstLine="0"/>
      </w:pPr>
    </w:lvl>
  </w:abstractNum>
  <w:abstractNum w:abstractNumId="32" w15:restartNumberingAfterBreak="0">
    <w:nsid w:val="78760E36"/>
    <w:multiLevelType w:val="multilevel"/>
    <w:tmpl w:val="AA202CC4"/>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8878304">
    <w:abstractNumId w:val="22"/>
  </w:num>
  <w:num w:numId="2" w16cid:durableId="2141798221">
    <w:abstractNumId w:val="12"/>
  </w:num>
  <w:num w:numId="3" w16cid:durableId="1259563499">
    <w:abstractNumId w:val="24"/>
  </w:num>
  <w:num w:numId="4" w16cid:durableId="124275250">
    <w:abstractNumId w:val="3"/>
  </w:num>
  <w:num w:numId="5" w16cid:durableId="1781535194">
    <w:abstractNumId w:val="6"/>
  </w:num>
  <w:num w:numId="6" w16cid:durableId="1616790235">
    <w:abstractNumId w:val="21"/>
  </w:num>
  <w:num w:numId="7" w16cid:durableId="183324361">
    <w:abstractNumId w:val="5"/>
  </w:num>
  <w:num w:numId="8" w16cid:durableId="2064406785">
    <w:abstractNumId w:val="29"/>
  </w:num>
  <w:num w:numId="9" w16cid:durableId="1956324867">
    <w:abstractNumId w:val="13"/>
  </w:num>
  <w:num w:numId="10" w16cid:durableId="382876511">
    <w:abstractNumId w:val="30"/>
  </w:num>
  <w:num w:numId="11" w16cid:durableId="1038049814">
    <w:abstractNumId w:val="0"/>
  </w:num>
  <w:num w:numId="12" w16cid:durableId="1658148504">
    <w:abstractNumId w:val="14"/>
  </w:num>
  <w:num w:numId="13" w16cid:durableId="1485468683">
    <w:abstractNumId w:val="8"/>
  </w:num>
  <w:num w:numId="14" w16cid:durableId="843321261">
    <w:abstractNumId w:val="1"/>
  </w:num>
  <w:num w:numId="15" w16cid:durableId="1993216166">
    <w:abstractNumId w:val="32"/>
  </w:num>
  <w:num w:numId="16" w16cid:durableId="338777307">
    <w:abstractNumId w:val="31"/>
  </w:num>
  <w:num w:numId="17" w16cid:durableId="1658072009">
    <w:abstractNumId w:val="11"/>
  </w:num>
  <w:num w:numId="18" w16cid:durableId="63378816">
    <w:abstractNumId w:val="18"/>
  </w:num>
  <w:num w:numId="19" w16cid:durableId="2132937003">
    <w:abstractNumId w:val="10"/>
  </w:num>
  <w:num w:numId="20" w16cid:durableId="106967209">
    <w:abstractNumId w:val="26"/>
  </w:num>
  <w:num w:numId="21" w16cid:durableId="1497265124">
    <w:abstractNumId w:val="9"/>
  </w:num>
  <w:num w:numId="22" w16cid:durableId="763460059">
    <w:abstractNumId w:val="17"/>
  </w:num>
  <w:num w:numId="23" w16cid:durableId="423107977">
    <w:abstractNumId w:val="20"/>
  </w:num>
  <w:num w:numId="24" w16cid:durableId="613293867">
    <w:abstractNumId w:val="19"/>
  </w:num>
  <w:num w:numId="25" w16cid:durableId="330062288">
    <w:abstractNumId w:val="28"/>
  </w:num>
  <w:num w:numId="26" w16cid:durableId="825777539">
    <w:abstractNumId w:val="23"/>
  </w:num>
  <w:num w:numId="27" w16cid:durableId="1783720887">
    <w:abstractNumId w:val="4"/>
  </w:num>
  <w:num w:numId="28" w16cid:durableId="1513228838">
    <w:abstractNumId w:val="15"/>
  </w:num>
  <w:num w:numId="29" w16cid:durableId="1134755885">
    <w:abstractNumId w:val="25"/>
  </w:num>
  <w:num w:numId="30" w16cid:durableId="1293905803">
    <w:abstractNumId w:val="16"/>
  </w:num>
  <w:num w:numId="31" w16cid:durableId="1272320331">
    <w:abstractNumId w:val="2"/>
  </w:num>
  <w:num w:numId="32" w16cid:durableId="1016424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551672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4020177">
    <w:abstractNumId w:val="27"/>
  </w:num>
  <w:num w:numId="35" w16cid:durableId="17734272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trackRevisions/>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B94"/>
    <w:rsid w:val="0017722D"/>
    <w:rsid w:val="0023638B"/>
    <w:rsid w:val="00261347"/>
    <w:rsid w:val="0028380F"/>
    <w:rsid w:val="00344F37"/>
    <w:rsid w:val="003E6C35"/>
    <w:rsid w:val="0040458B"/>
    <w:rsid w:val="00416394"/>
    <w:rsid w:val="00435748"/>
    <w:rsid w:val="00474B94"/>
    <w:rsid w:val="004776FF"/>
    <w:rsid w:val="00491BE7"/>
    <w:rsid w:val="005D7156"/>
    <w:rsid w:val="005E0FD4"/>
    <w:rsid w:val="006314E9"/>
    <w:rsid w:val="007160A0"/>
    <w:rsid w:val="00725723"/>
    <w:rsid w:val="007952C8"/>
    <w:rsid w:val="007A6D1E"/>
    <w:rsid w:val="007B527D"/>
    <w:rsid w:val="007C20E6"/>
    <w:rsid w:val="0082467C"/>
    <w:rsid w:val="00836D1F"/>
    <w:rsid w:val="00847207"/>
    <w:rsid w:val="008702BD"/>
    <w:rsid w:val="00982EC8"/>
    <w:rsid w:val="00A62B92"/>
    <w:rsid w:val="00A76B30"/>
    <w:rsid w:val="00AA6DF8"/>
    <w:rsid w:val="00AC71ED"/>
    <w:rsid w:val="00AE5399"/>
    <w:rsid w:val="00B13AC3"/>
    <w:rsid w:val="00B7366C"/>
    <w:rsid w:val="00BC48C3"/>
    <w:rsid w:val="00C0649A"/>
    <w:rsid w:val="00CA2875"/>
    <w:rsid w:val="00DB4F22"/>
    <w:rsid w:val="00DD212D"/>
    <w:rsid w:val="00E577E7"/>
    <w:rsid w:val="00E63486"/>
    <w:rsid w:val="00EB2BD8"/>
    <w:rsid w:val="00F15617"/>
    <w:rsid w:val="00F4176F"/>
    <w:rsid w:val="00FA31D5"/>
    <w:rsid w:val="00FA5555"/>
    <w:rsid w:val="00FC1177"/>
    <w:rsid w:val="00FE745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3C2B5"/>
  <w15:docId w15:val="{29B52610-EBDF-48CD-99FE-3045C6121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rsid w:val="00C346A5"/>
    <w:rPr>
      <w:rFonts w:cs="Arial Unicode MS"/>
      <w:color w:val="000000"/>
      <w:u w:color="000000"/>
    </w:rPr>
  </w:style>
  <w:style w:type="paragraph" w:styleId="Nadpis1">
    <w:name w:val="heading 1"/>
    <w:next w:val="Normlny"/>
    <w:link w:val="Nadpis1Char"/>
    <w:qFormat/>
    <w:rsid w:val="00F1725A"/>
    <w:pPr>
      <w:keepNext/>
      <w:tabs>
        <w:tab w:val="left" w:pos="360"/>
        <w:tab w:val="left" w:pos="567"/>
        <w:tab w:val="left" w:pos="1134"/>
        <w:tab w:val="left" w:pos="1276"/>
      </w:tabs>
      <w:spacing w:before="240" w:after="240"/>
      <w:outlineLvl w:val="0"/>
    </w:pPr>
    <w:rPr>
      <w:rFonts w:cs="Arial Unicode MS"/>
      <w:color w:val="000000"/>
      <w:kern w:val="32"/>
      <w:sz w:val="32"/>
      <w:szCs w:val="32"/>
      <w:u w:color="000000"/>
    </w:rPr>
  </w:style>
  <w:style w:type="paragraph" w:styleId="Nadpis2">
    <w:name w:val="heading 2"/>
    <w:basedOn w:val="Normlny"/>
    <w:next w:val="Normlny"/>
    <w:pPr>
      <w:keepNext/>
      <w:keepLines/>
      <w:spacing w:before="360" w:after="80"/>
      <w:outlineLvl w:val="1"/>
    </w:pPr>
    <w:rPr>
      <w:b/>
      <w:sz w:val="36"/>
      <w:szCs w:val="36"/>
    </w:rPr>
  </w:style>
  <w:style w:type="paragraph" w:styleId="Nadpis3">
    <w:name w:val="heading 3"/>
    <w:next w:val="Normlny"/>
    <w:link w:val="Nadpis3Char"/>
    <w:qFormat/>
    <w:rsid w:val="00F1725A"/>
    <w:pPr>
      <w:keepNext/>
      <w:outlineLvl w:val="2"/>
    </w:pPr>
    <w:rPr>
      <w:rFonts w:ascii="Verdana" w:hAnsi="Verdana" w:cs="Arial Unicode MS"/>
      <w:b/>
      <w:bCs/>
      <w:color w:val="000000"/>
      <w:sz w:val="28"/>
      <w:szCs w:val="28"/>
      <w:u w:color="000000"/>
    </w:rPr>
  </w:style>
  <w:style w:type="paragraph" w:styleId="Nadpis4">
    <w:name w:val="heading 4"/>
    <w:basedOn w:val="Normlny"/>
    <w:next w:val="Normlny"/>
    <w:pPr>
      <w:keepNext/>
      <w:keepLines/>
      <w:spacing w:before="240" w:after="40"/>
      <w:outlineLvl w:val="3"/>
    </w:pPr>
    <w:rPr>
      <w:b/>
    </w:rPr>
  </w:style>
  <w:style w:type="paragraph" w:styleId="Nadpis5">
    <w:name w:val="heading 5"/>
    <w:next w:val="Normlny"/>
    <w:link w:val="Nadpis5Char"/>
    <w:qFormat/>
    <w:rsid w:val="00F1725A"/>
    <w:pPr>
      <w:keepNext/>
      <w:ind w:left="705"/>
      <w:outlineLvl w:val="4"/>
    </w:pPr>
    <w:rPr>
      <w:rFonts w:ascii="Verdana" w:hAnsi="Verdana" w:cs="Arial Unicode MS"/>
      <w:b/>
      <w:bCs/>
      <w:color w:val="000000"/>
      <w:u w:color="000000"/>
    </w:rPr>
  </w:style>
  <w:style w:type="paragraph" w:styleId="Nadpis6">
    <w:name w:val="heading 6"/>
    <w:basedOn w:val="Normlny"/>
    <w:next w:val="Normlny"/>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Hypertextovprepojenie">
    <w:name w:val="Hyperlink"/>
    <w:uiPriority w:val="99"/>
    <w:rsid w:val="00F1725A"/>
    <w:rPr>
      <w:u w:val="single"/>
    </w:rPr>
  </w:style>
  <w:style w:type="table" w:customStyle="1" w:styleId="TableNormal1">
    <w:name w:val="Table Normal1"/>
    <w:rsid w:val="00F1725A"/>
    <w:tblPr>
      <w:tblInd w:w="0" w:type="dxa"/>
      <w:tblCellMar>
        <w:top w:w="0" w:type="dxa"/>
        <w:left w:w="0" w:type="dxa"/>
        <w:bottom w:w="0" w:type="dxa"/>
        <w:right w:w="0" w:type="dxa"/>
      </w:tblCellMar>
    </w:tblPr>
  </w:style>
  <w:style w:type="paragraph" w:styleId="Hlavika">
    <w:name w:val="header"/>
    <w:link w:val="HlavikaChar"/>
    <w:uiPriority w:val="99"/>
    <w:rsid w:val="00F1725A"/>
    <w:pPr>
      <w:tabs>
        <w:tab w:val="center" w:pos="4536"/>
        <w:tab w:val="right" w:pos="9072"/>
      </w:tabs>
    </w:pPr>
    <w:rPr>
      <w:rFonts w:cs="Arial Unicode MS"/>
      <w:color w:val="000000"/>
      <w:u w:color="000000"/>
    </w:rPr>
  </w:style>
  <w:style w:type="character" w:customStyle="1" w:styleId="iadne">
    <w:name w:val="Žiadne"/>
    <w:rsid w:val="00F1725A"/>
  </w:style>
  <w:style w:type="paragraph" w:styleId="Pta">
    <w:name w:val="footer"/>
    <w:link w:val="PtaChar"/>
    <w:uiPriority w:val="99"/>
    <w:rsid w:val="00F1725A"/>
    <w:pPr>
      <w:tabs>
        <w:tab w:val="center" w:pos="4536"/>
        <w:tab w:val="right" w:pos="9072"/>
      </w:tabs>
    </w:pPr>
    <w:rPr>
      <w:rFonts w:cs="Arial Unicode MS"/>
      <w:color w:val="000000"/>
      <w:u w:color="000000"/>
    </w:rPr>
  </w:style>
  <w:style w:type="numbering" w:customStyle="1" w:styleId="Importovantl2">
    <w:name w:val="Importovaný štýl 2"/>
    <w:rsid w:val="00F1725A"/>
  </w:style>
  <w:style w:type="paragraph" w:styleId="Odsekzoznamu">
    <w:name w:val="List Paragraph"/>
    <w:aliases w:val="body,Odsek zoznamu2,List Paragraph,Odsek"/>
    <w:link w:val="OdsekzoznamuChar"/>
    <w:uiPriority w:val="34"/>
    <w:qFormat/>
    <w:rsid w:val="00F1725A"/>
    <w:pPr>
      <w:ind w:left="720"/>
    </w:pPr>
    <w:rPr>
      <w:rFonts w:cs="Arial Unicode MS"/>
      <w:color w:val="000000"/>
      <w:u w:color="000000"/>
    </w:rPr>
  </w:style>
  <w:style w:type="numbering" w:customStyle="1" w:styleId="Importovantl3">
    <w:name w:val="Importovaný štýl 3"/>
    <w:rsid w:val="00F1725A"/>
  </w:style>
  <w:style w:type="numbering" w:customStyle="1" w:styleId="Importovantl4">
    <w:name w:val="Importovaný štýl 4"/>
    <w:rsid w:val="00F1725A"/>
  </w:style>
  <w:style w:type="numbering" w:customStyle="1" w:styleId="Importovantl5">
    <w:name w:val="Importovaný štýl 5"/>
    <w:rsid w:val="00F1725A"/>
  </w:style>
  <w:style w:type="numbering" w:customStyle="1" w:styleId="Importovantl6">
    <w:name w:val="Importovaný štýl 6"/>
    <w:rsid w:val="00F1725A"/>
  </w:style>
  <w:style w:type="numbering" w:customStyle="1" w:styleId="Importovantl7">
    <w:name w:val="Importovaný štýl 7"/>
    <w:rsid w:val="00F1725A"/>
  </w:style>
  <w:style w:type="numbering" w:customStyle="1" w:styleId="Importovantl8">
    <w:name w:val="Importovaný štýl 8"/>
    <w:rsid w:val="00F1725A"/>
  </w:style>
  <w:style w:type="numbering" w:customStyle="1" w:styleId="Importovantl9">
    <w:name w:val="Importovaný štýl 9"/>
    <w:rsid w:val="00F1725A"/>
  </w:style>
  <w:style w:type="numbering" w:customStyle="1" w:styleId="Importovantl10">
    <w:name w:val="Importovaný štýl 10"/>
    <w:rsid w:val="00F1725A"/>
  </w:style>
  <w:style w:type="numbering" w:customStyle="1" w:styleId="Importovantl11">
    <w:name w:val="Importovaný štýl 11"/>
    <w:rsid w:val="00F1725A"/>
  </w:style>
  <w:style w:type="character" w:customStyle="1" w:styleId="Odkaz">
    <w:name w:val="Odkaz"/>
    <w:rsid w:val="00F1725A"/>
    <w:rPr>
      <w:color w:val="0000FF"/>
      <w:u w:val="single" w:color="0000FF"/>
    </w:rPr>
  </w:style>
  <w:style w:type="character" w:customStyle="1" w:styleId="Hyperlink0">
    <w:name w:val="Hyperlink.0"/>
    <w:basedOn w:val="Odkaz"/>
    <w:rsid w:val="00F1725A"/>
    <w:rPr>
      <w:rFonts w:ascii="Calibri" w:eastAsia="Calibri" w:hAnsi="Calibri" w:cs="Calibri"/>
      <w:color w:val="0000FF"/>
      <w:sz w:val="22"/>
      <w:szCs w:val="22"/>
      <w:u w:val="single" w:color="0000FF"/>
    </w:rPr>
  </w:style>
  <w:style w:type="numbering" w:customStyle="1" w:styleId="Importovantl12">
    <w:name w:val="Importovaný štýl 12"/>
    <w:rsid w:val="00F1725A"/>
  </w:style>
  <w:style w:type="numbering" w:customStyle="1" w:styleId="Importovantl13">
    <w:name w:val="Importovaný štýl 13"/>
    <w:rsid w:val="00F1725A"/>
  </w:style>
  <w:style w:type="numbering" w:customStyle="1" w:styleId="Importovantl14">
    <w:name w:val="Importovaný štýl 14"/>
    <w:rsid w:val="00F1725A"/>
  </w:style>
  <w:style w:type="character" w:customStyle="1" w:styleId="Hyperlink1">
    <w:name w:val="Hyperlink.1"/>
    <w:basedOn w:val="Odkaz"/>
    <w:rsid w:val="00F1725A"/>
    <w:rPr>
      <w:rFonts w:ascii="Calibri" w:eastAsia="Calibri" w:hAnsi="Calibri" w:cs="Calibri"/>
      <w:color w:val="0000FF"/>
      <w:u w:val="single" w:color="0000FF"/>
    </w:rPr>
  </w:style>
  <w:style w:type="numbering" w:customStyle="1" w:styleId="Importovantl15">
    <w:name w:val="Importovaný štýl 15"/>
    <w:rsid w:val="00F1725A"/>
  </w:style>
  <w:style w:type="paragraph" w:styleId="Textpoznmkypodiarou">
    <w:name w:val="footnote text"/>
    <w:link w:val="TextpoznmkypodiarouChar"/>
    <w:rsid w:val="00F1725A"/>
    <w:rPr>
      <w:color w:val="000000"/>
      <w:u w:color="000000"/>
    </w:rPr>
  </w:style>
  <w:style w:type="numbering" w:customStyle="1" w:styleId="Importovantl16">
    <w:name w:val="Importovaný štýl 16"/>
    <w:rsid w:val="00F1725A"/>
  </w:style>
  <w:style w:type="numbering" w:customStyle="1" w:styleId="Importovantl17">
    <w:name w:val="Importovaný štýl 17"/>
    <w:rsid w:val="00F1725A"/>
  </w:style>
  <w:style w:type="numbering" w:customStyle="1" w:styleId="Importovantl18">
    <w:name w:val="Importovaný štýl 18"/>
    <w:rsid w:val="00F1725A"/>
  </w:style>
  <w:style w:type="numbering" w:customStyle="1" w:styleId="Importovantl19">
    <w:name w:val="Importovaný štýl 19"/>
    <w:rsid w:val="00F1725A"/>
  </w:style>
  <w:style w:type="numbering" w:customStyle="1" w:styleId="Importovantl20">
    <w:name w:val="Importovaný štýl 20"/>
    <w:rsid w:val="00F1725A"/>
  </w:style>
  <w:style w:type="numbering" w:customStyle="1" w:styleId="Importovantl21">
    <w:name w:val="Importovaný štýl 21"/>
    <w:rsid w:val="00F1725A"/>
  </w:style>
  <w:style w:type="numbering" w:customStyle="1" w:styleId="Importovantl22">
    <w:name w:val="Importovaný štýl 22"/>
    <w:rsid w:val="00F1725A"/>
  </w:style>
  <w:style w:type="numbering" w:customStyle="1" w:styleId="Importovantl23">
    <w:name w:val="Importovaný štýl 23"/>
    <w:rsid w:val="00F1725A"/>
  </w:style>
  <w:style w:type="numbering" w:customStyle="1" w:styleId="Importovantl24">
    <w:name w:val="Importovaný štýl 24"/>
    <w:rsid w:val="00F1725A"/>
  </w:style>
  <w:style w:type="numbering" w:customStyle="1" w:styleId="Importovantl240">
    <w:name w:val="Importovaný štýl 24.0"/>
    <w:rsid w:val="00F1725A"/>
  </w:style>
  <w:style w:type="numbering" w:customStyle="1" w:styleId="Importovantl25">
    <w:name w:val="Importovaný štýl 25"/>
    <w:rsid w:val="00F1725A"/>
  </w:style>
  <w:style w:type="numbering" w:customStyle="1" w:styleId="Importovantl26">
    <w:name w:val="Importovaný štýl 26"/>
    <w:rsid w:val="00F1725A"/>
  </w:style>
  <w:style w:type="numbering" w:customStyle="1" w:styleId="Importovantl27">
    <w:name w:val="Importovaný štýl 27"/>
    <w:rsid w:val="00F1725A"/>
  </w:style>
  <w:style w:type="numbering" w:customStyle="1" w:styleId="Importovantl28">
    <w:name w:val="Importovaný štýl 28"/>
    <w:rsid w:val="00F1725A"/>
  </w:style>
  <w:style w:type="numbering" w:customStyle="1" w:styleId="Importovantl29">
    <w:name w:val="Importovaný štýl 29"/>
    <w:rsid w:val="00F1725A"/>
  </w:style>
  <w:style w:type="numbering" w:customStyle="1" w:styleId="Importovantl30">
    <w:name w:val="Importovaný štýl 30"/>
    <w:rsid w:val="00F1725A"/>
  </w:style>
  <w:style w:type="numbering" w:customStyle="1" w:styleId="Importovantl31">
    <w:name w:val="Importovaný štýl 31"/>
    <w:rsid w:val="00F1725A"/>
  </w:style>
  <w:style w:type="paragraph" w:customStyle="1" w:styleId="Default">
    <w:name w:val="Default"/>
    <w:rsid w:val="00F1725A"/>
    <w:rPr>
      <w:color w:val="000000"/>
      <w:u w:color="000000"/>
    </w:rPr>
  </w:style>
  <w:style w:type="numbering" w:customStyle="1" w:styleId="Importovantl32">
    <w:name w:val="Importovaný štýl 32"/>
    <w:rsid w:val="00F1725A"/>
  </w:style>
  <w:style w:type="numbering" w:customStyle="1" w:styleId="Importovantl33">
    <w:name w:val="Importovaný štýl 33"/>
    <w:rsid w:val="00F1725A"/>
  </w:style>
  <w:style w:type="numbering" w:customStyle="1" w:styleId="Importovantl34">
    <w:name w:val="Importovaný štýl 34"/>
    <w:rsid w:val="00F1725A"/>
  </w:style>
  <w:style w:type="numbering" w:customStyle="1" w:styleId="Importovantl35">
    <w:name w:val="Importovaný štýl 35"/>
    <w:rsid w:val="00F1725A"/>
  </w:style>
  <w:style w:type="paragraph" w:styleId="Zkladntext">
    <w:name w:val="Body Text"/>
    <w:link w:val="ZkladntextChar"/>
    <w:rsid w:val="00F1725A"/>
    <w:pPr>
      <w:spacing w:after="120"/>
    </w:pPr>
    <w:rPr>
      <w:rFonts w:cs="Arial Unicode MS"/>
      <w:color w:val="000000"/>
      <w:u w:color="000000"/>
    </w:rPr>
  </w:style>
  <w:style w:type="numbering" w:customStyle="1" w:styleId="Importovantl36">
    <w:name w:val="Importovaný štýl 36"/>
    <w:rsid w:val="00F1725A"/>
  </w:style>
  <w:style w:type="numbering" w:customStyle="1" w:styleId="Importovantl37">
    <w:name w:val="Importovaný štýl 37"/>
    <w:rsid w:val="00F1725A"/>
  </w:style>
  <w:style w:type="numbering" w:customStyle="1" w:styleId="Importovantl38">
    <w:name w:val="Importovaný štýl 38"/>
    <w:rsid w:val="00F1725A"/>
  </w:style>
  <w:style w:type="numbering" w:customStyle="1" w:styleId="Importovantl370">
    <w:name w:val="Importovaný štýl 37.0"/>
    <w:rsid w:val="00F1725A"/>
  </w:style>
  <w:style w:type="numbering" w:customStyle="1" w:styleId="Importovantl39">
    <w:name w:val="Importovaný štýl 39"/>
    <w:rsid w:val="00F1725A"/>
  </w:style>
  <w:style w:type="numbering" w:customStyle="1" w:styleId="Importovantl40">
    <w:name w:val="Importovaný štýl 40"/>
    <w:rsid w:val="00F1725A"/>
  </w:style>
  <w:style w:type="numbering" w:customStyle="1" w:styleId="Importovantl41">
    <w:name w:val="Importovaný štýl 41"/>
    <w:rsid w:val="00F1725A"/>
  </w:style>
  <w:style w:type="paragraph" w:styleId="Textbubliny">
    <w:name w:val="Balloon Text"/>
    <w:basedOn w:val="Normlny"/>
    <w:link w:val="TextbublinyChar"/>
    <w:uiPriority w:val="99"/>
    <w:semiHidden/>
    <w:unhideWhenUsed/>
    <w:rsid w:val="004C744E"/>
    <w:rPr>
      <w:rFonts w:ascii="Tahoma" w:hAnsi="Tahoma" w:cs="Tahoma"/>
      <w:sz w:val="16"/>
      <w:szCs w:val="16"/>
    </w:rPr>
  </w:style>
  <w:style w:type="character" w:customStyle="1" w:styleId="TextbublinyChar">
    <w:name w:val="Text bubliny Char"/>
    <w:basedOn w:val="Predvolenpsmoodseku"/>
    <w:link w:val="Textbubliny"/>
    <w:uiPriority w:val="99"/>
    <w:semiHidden/>
    <w:rsid w:val="004C744E"/>
    <w:rPr>
      <w:rFonts w:ascii="Tahoma" w:hAnsi="Tahoma" w:cs="Tahoma"/>
      <w:color w:val="000000"/>
      <w:sz w:val="16"/>
      <w:szCs w:val="16"/>
      <w:u w:color="000000"/>
    </w:rPr>
  </w:style>
  <w:style w:type="character" w:customStyle="1" w:styleId="Nadpis3Char">
    <w:name w:val="Nadpis 3 Char"/>
    <w:basedOn w:val="Predvolenpsmoodseku"/>
    <w:link w:val="Nadpis3"/>
    <w:rsid w:val="009A2C49"/>
    <w:rPr>
      <w:rFonts w:ascii="Verdana" w:hAnsi="Verdana" w:cs="Arial Unicode MS"/>
      <w:b/>
      <w:bCs/>
      <w:color w:val="000000"/>
      <w:sz w:val="28"/>
      <w:szCs w:val="28"/>
      <w:u w:color="000000"/>
    </w:rPr>
  </w:style>
  <w:style w:type="character" w:customStyle="1" w:styleId="ZkladntextChar">
    <w:name w:val="Základný text Char"/>
    <w:basedOn w:val="Predvolenpsmoodseku"/>
    <w:link w:val="Zkladntext"/>
    <w:rsid w:val="009A2C49"/>
    <w:rPr>
      <w:rFonts w:cs="Arial Unicode MS"/>
      <w:color w:val="000000"/>
      <w:sz w:val="24"/>
      <w:szCs w:val="24"/>
      <w:u w:color="000000"/>
    </w:rPr>
  </w:style>
  <w:style w:type="character" w:customStyle="1" w:styleId="HlavikaChar">
    <w:name w:val="Hlavička Char"/>
    <w:link w:val="Hlavika"/>
    <w:uiPriority w:val="99"/>
    <w:rsid w:val="007459A1"/>
    <w:rPr>
      <w:rFonts w:cs="Arial Unicode MS"/>
      <w:color w:val="000000"/>
      <w:sz w:val="24"/>
      <w:szCs w:val="24"/>
      <w:u w:color="000000"/>
    </w:rPr>
  </w:style>
  <w:style w:type="character" w:styleId="Odkaznakomentr">
    <w:name w:val="annotation reference"/>
    <w:rsid w:val="007459A1"/>
    <w:rPr>
      <w:sz w:val="16"/>
      <w:szCs w:val="16"/>
    </w:rPr>
  </w:style>
  <w:style w:type="paragraph" w:styleId="Textkomentra">
    <w:name w:val="annotation text"/>
    <w:basedOn w:val="Normlny"/>
    <w:link w:val="TextkomentraChar"/>
    <w:uiPriority w:val="99"/>
    <w:rsid w:val="007459A1"/>
    <w:rPr>
      <w:rFonts w:cs="Times New Roman"/>
      <w:color w:val="auto"/>
      <w:sz w:val="20"/>
      <w:szCs w:val="20"/>
    </w:rPr>
  </w:style>
  <w:style w:type="character" w:customStyle="1" w:styleId="TextkomentraChar">
    <w:name w:val="Text komentára Char"/>
    <w:basedOn w:val="Predvolenpsmoodseku"/>
    <w:link w:val="Textkomentra"/>
    <w:uiPriority w:val="99"/>
    <w:rsid w:val="007459A1"/>
    <w:rPr>
      <w:rFonts w:eastAsia="Times New Roman"/>
      <w:bdr w:val="none" w:sz="0" w:space="0" w:color="auto"/>
    </w:rPr>
  </w:style>
  <w:style w:type="paragraph" w:customStyle="1" w:styleId="Farebnzoznamzvraznenie11">
    <w:name w:val="Farebný zoznam – zvýraznenie 11"/>
    <w:basedOn w:val="Normlny"/>
    <w:uiPriority w:val="34"/>
    <w:qFormat/>
    <w:rsid w:val="007459A1"/>
    <w:pPr>
      <w:suppressAutoHyphens/>
      <w:ind w:left="720"/>
      <w:textAlignment w:val="baseline"/>
    </w:pPr>
    <w:rPr>
      <w:rFonts w:ascii="Liberation Serif" w:eastAsia="SimSun" w:hAnsi="Liberation Serif" w:cs="Mangal"/>
      <w:color w:val="auto"/>
      <w:kern w:val="1"/>
      <w:szCs w:val="21"/>
      <w:lang w:eastAsia="zh-CN" w:bidi="hi-IN"/>
    </w:rPr>
  </w:style>
  <w:style w:type="character" w:customStyle="1" w:styleId="Predvolenpsmoodseku2">
    <w:name w:val="Predvolené písmo odseku2"/>
    <w:rsid w:val="007459A1"/>
  </w:style>
  <w:style w:type="paragraph" w:styleId="Predmetkomentra">
    <w:name w:val="annotation subject"/>
    <w:basedOn w:val="Textkomentra"/>
    <w:next w:val="Textkomentra"/>
    <w:link w:val="PredmetkomentraChar"/>
    <w:uiPriority w:val="99"/>
    <w:semiHidden/>
    <w:unhideWhenUsed/>
    <w:rsid w:val="008208C1"/>
    <w:pPr>
      <w:pBdr>
        <w:top w:val="nil"/>
        <w:left w:val="nil"/>
        <w:bottom w:val="nil"/>
        <w:right w:val="nil"/>
        <w:between w:val="nil"/>
        <w:bar w:val="nil"/>
      </w:pBdr>
    </w:pPr>
    <w:rPr>
      <w:rFonts w:eastAsia="Arial Unicode MS" w:cs="Arial Unicode MS"/>
      <w:b/>
      <w:bCs/>
      <w:color w:val="000000"/>
      <w:bdr w:val="nil"/>
    </w:rPr>
  </w:style>
  <w:style w:type="character" w:customStyle="1" w:styleId="PredmetkomentraChar">
    <w:name w:val="Predmet komentára Char"/>
    <w:basedOn w:val="TextkomentraChar"/>
    <w:link w:val="Predmetkomentra"/>
    <w:uiPriority w:val="99"/>
    <w:semiHidden/>
    <w:rsid w:val="008208C1"/>
    <w:rPr>
      <w:rFonts w:eastAsia="Times New Roman" w:cs="Arial Unicode MS"/>
      <w:b/>
      <w:bCs/>
      <w:color w:val="000000"/>
      <w:u w:color="000000"/>
      <w:bdr w:val="none" w:sz="0" w:space="0" w:color="auto"/>
    </w:rPr>
  </w:style>
  <w:style w:type="character" w:customStyle="1" w:styleId="Nadpis1Char">
    <w:name w:val="Nadpis 1 Char"/>
    <w:basedOn w:val="Predvolenpsmoodseku"/>
    <w:link w:val="Nadpis1"/>
    <w:rsid w:val="00982EEB"/>
    <w:rPr>
      <w:rFonts w:cs="Arial Unicode MS"/>
      <w:color w:val="000000"/>
      <w:kern w:val="32"/>
      <w:sz w:val="32"/>
      <w:szCs w:val="32"/>
      <w:u w:color="000000"/>
    </w:rPr>
  </w:style>
  <w:style w:type="character" w:customStyle="1" w:styleId="Nadpis5Char">
    <w:name w:val="Nadpis 5 Char"/>
    <w:basedOn w:val="Predvolenpsmoodseku"/>
    <w:link w:val="Nadpis5"/>
    <w:rsid w:val="00982EEB"/>
    <w:rPr>
      <w:rFonts w:ascii="Verdana" w:hAnsi="Verdana" w:cs="Arial Unicode MS"/>
      <w:b/>
      <w:bCs/>
      <w:color w:val="000000"/>
      <w:sz w:val="24"/>
      <w:szCs w:val="24"/>
      <w:u w:color="000000"/>
    </w:rPr>
  </w:style>
  <w:style w:type="character" w:styleId="PouitHypertextovPrepojenie">
    <w:name w:val="FollowedHyperlink"/>
    <w:basedOn w:val="Predvolenpsmoodseku"/>
    <w:uiPriority w:val="99"/>
    <w:semiHidden/>
    <w:unhideWhenUsed/>
    <w:rsid w:val="00982EEB"/>
    <w:rPr>
      <w:color w:val="FF00FF" w:themeColor="followedHyperlink"/>
      <w:u w:val="single"/>
    </w:rPr>
  </w:style>
  <w:style w:type="character" w:customStyle="1" w:styleId="TextpoznmkypodiarouChar">
    <w:name w:val="Text poznámky pod čiarou Char"/>
    <w:basedOn w:val="Predvolenpsmoodseku"/>
    <w:link w:val="Textpoznmkypodiarou"/>
    <w:rsid w:val="00982EEB"/>
    <w:rPr>
      <w:rFonts w:eastAsia="Times New Roman"/>
      <w:color w:val="000000"/>
      <w:u w:color="000000"/>
    </w:rPr>
  </w:style>
  <w:style w:type="character" w:customStyle="1" w:styleId="PtaChar">
    <w:name w:val="Päta Char"/>
    <w:basedOn w:val="Predvolenpsmoodseku"/>
    <w:link w:val="Pta"/>
    <w:uiPriority w:val="99"/>
    <w:rsid w:val="00982EEB"/>
    <w:rPr>
      <w:rFonts w:cs="Arial Unicode MS"/>
      <w:color w:val="000000"/>
      <w:sz w:val="24"/>
      <w:szCs w:val="24"/>
      <w:u w:color="000000"/>
    </w:rPr>
  </w:style>
  <w:style w:type="paragraph" w:customStyle="1" w:styleId="xl64">
    <w:name w:val="xl64"/>
    <w:basedOn w:val="Normlny"/>
    <w:rsid w:val="007C371A"/>
    <w:pPr>
      <w:spacing w:before="100" w:beforeAutospacing="1" w:after="100" w:afterAutospacing="1"/>
      <w:textAlignment w:val="top"/>
    </w:pPr>
    <w:rPr>
      <w:rFonts w:cs="Times New Roman"/>
      <w:color w:val="auto"/>
    </w:rPr>
  </w:style>
  <w:style w:type="paragraph" w:customStyle="1" w:styleId="xl65">
    <w:name w:val="xl65"/>
    <w:basedOn w:val="Normlny"/>
    <w:rsid w:val="007C37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66">
    <w:name w:val="xl66"/>
    <w:basedOn w:val="Normlny"/>
    <w:rsid w:val="007C37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67">
    <w:name w:val="xl67"/>
    <w:basedOn w:val="Normlny"/>
    <w:rsid w:val="007C3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auto"/>
    </w:rPr>
  </w:style>
  <w:style w:type="paragraph" w:customStyle="1" w:styleId="xl68">
    <w:name w:val="xl68"/>
    <w:basedOn w:val="Normlny"/>
    <w:rsid w:val="007C371A"/>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69">
    <w:name w:val="xl69"/>
    <w:basedOn w:val="Normlny"/>
    <w:rsid w:val="007C371A"/>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70">
    <w:name w:val="xl70"/>
    <w:basedOn w:val="Normlny"/>
    <w:rsid w:val="007C371A"/>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auto"/>
    </w:rPr>
  </w:style>
  <w:style w:type="paragraph" w:customStyle="1" w:styleId="xl71">
    <w:name w:val="xl71"/>
    <w:basedOn w:val="Normlny"/>
    <w:rsid w:val="007C371A"/>
    <w:pPr>
      <w:pBdr>
        <w:top w:val="single" w:sz="8" w:space="0" w:color="auto"/>
        <w:left w:val="single" w:sz="8" w:space="0" w:color="auto"/>
        <w:bottom w:val="double" w:sz="6" w:space="0" w:color="auto"/>
        <w:right w:val="single" w:sz="4" w:space="0" w:color="auto"/>
      </w:pBdr>
      <w:spacing w:before="100" w:beforeAutospacing="1" w:after="100" w:afterAutospacing="1"/>
      <w:jc w:val="center"/>
      <w:textAlignment w:val="center"/>
    </w:pPr>
    <w:rPr>
      <w:rFonts w:cs="Times New Roman"/>
      <w:color w:val="auto"/>
    </w:rPr>
  </w:style>
  <w:style w:type="paragraph" w:customStyle="1" w:styleId="xl72">
    <w:name w:val="xl72"/>
    <w:basedOn w:val="Normlny"/>
    <w:rsid w:val="007C371A"/>
    <w:pPr>
      <w:pBdr>
        <w:top w:val="single" w:sz="8"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cs="Times New Roman"/>
      <w:color w:val="auto"/>
    </w:rPr>
  </w:style>
  <w:style w:type="paragraph" w:customStyle="1" w:styleId="xl73">
    <w:name w:val="xl73"/>
    <w:basedOn w:val="Normlny"/>
    <w:rsid w:val="007C371A"/>
    <w:pPr>
      <w:pBdr>
        <w:top w:val="single" w:sz="8"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cs="Times New Roman"/>
      <w:color w:val="auto"/>
    </w:rPr>
  </w:style>
  <w:style w:type="paragraph" w:customStyle="1" w:styleId="xl74">
    <w:name w:val="xl74"/>
    <w:basedOn w:val="Normlny"/>
    <w:rsid w:val="007C371A"/>
    <w:pPr>
      <w:pBdr>
        <w:left w:val="single" w:sz="8"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75">
    <w:name w:val="xl75"/>
    <w:basedOn w:val="Normlny"/>
    <w:rsid w:val="007C371A"/>
    <w:pPr>
      <w:pBdr>
        <w:left w:val="single" w:sz="4" w:space="0" w:color="auto"/>
        <w:bottom w:val="single" w:sz="4" w:space="0" w:color="auto"/>
        <w:right w:val="single" w:sz="8" w:space="0" w:color="auto"/>
      </w:pBdr>
      <w:spacing w:before="100" w:beforeAutospacing="1" w:after="100" w:afterAutospacing="1"/>
      <w:jc w:val="center"/>
      <w:textAlignment w:val="top"/>
    </w:pPr>
    <w:rPr>
      <w:rFonts w:cs="Times New Roman"/>
      <w:color w:val="auto"/>
    </w:rPr>
  </w:style>
  <w:style w:type="paragraph" w:customStyle="1" w:styleId="xl76">
    <w:name w:val="xl76"/>
    <w:basedOn w:val="Normlny"/>
    <w:rsid w:val="007C371A"/>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77">
    <w:name w:val="xl77"/>
    <w:basedOn w:val="Normlny"/>
    <w:rsid w:val="007C371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cs="Times New Roman"/>
      <w:color w:val="auto"/>
    </w:rPr>
  </w:style>
  <w:style w:type="paragraph" w:customStyle="1" w:styleId="xl78">
    <w:name w:val="xl78"/>
    <w:basedOn w:val="Normlny"/>
    <w:rsid w:val="007C371A"/>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cs="Times New Roman"/>
      <w:color w:val="auto"/>
    </w:rPr>
  </w:style>
  <w:style w:type="paragraph" w:customStyle="1" w:styleId="xl79">
    <w:name w:val="xl79"/>
    <w:basedOn w:val="Normlny"/>
    <w:rsid w:val="007C371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imes New Roman"/>
      <w:color w:val="auto"/>
    </w:rPr>
  </w:style>
  <w:style w:type="paragraph" w:customStyle="1" w:styleId="xl80">
    <w:name w:val="xl80"/>
    <w:basedOn w:val="Normlny"/>
    <w:rsid w:val="007C371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imes New Roman"/>
      <w:color w:val="auto"/>
    </w:rPr>
  </w:style>
  <w:style w:type="paragraph" w:customStyle="1" w:styleId="xl81">
    <w:name w:val="xl81"/>
    <w:basedOn w:val="Normlny"/>
    <w:rsid w:val="007C371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Times New Roman"/>
      <w:color w:val="auto"/>
    </w:rPr>
  </w:style>
  <w:style w:type="paragraph" w:customStyle="1" w:styleId="xl82">
    <w:name w:val="xl82"/>
    <w:basedOn w:val="Normlny"/>
    <w:rsid w:val="007C371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cs="Times New Roman"/>
      <w:color w:val="auto"/>
    </w:rPr>
  </w:style>
  <w:style w:type="paragraph" w:customStyle="1" w:styleId="xl83">
    <w:name w:val="xl83"/>
    <w:basedOn w:val="Normlny"/>
    <w:rsid w:val="007C371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cs="Times New Roman"/>
      <w:color w:val="auto"/>
    </w:rPr>
  </w:style>
  <w:style w:type="character" w:styleId="Odkaznapoznmkupodiarou">
    <w:name w:val="footnote reference"/>
    <w:basedOn w:val="Predvolenpsmoodseku"/>
    <w:semiHidden/>
    <w:unhideWhenUsed/>
    <w:rsid w:val="00801DD0"/>
    <w:rPr>
      <w:vertAlign w:val="superscript"/>
    </w:rPr>
  </w:style>
  <w:style w:type="paragraph" w:customStyle="1" w:styleId="msonormal0">
    <w:name w:val="msonormal"/>
    <w:basedOn w:val="Normlny"/>
    <w:rsid w:val="005038A0"/>
    <w:pPr>
      <w:spacing w:before="100" w:beforeAutospacing="1" w:after="100" w:afterAutospacing="1"/>
    </w:pPr>
    <w:rPr>
      <w:rFonts w:cs="Times New Roman"/>
      <w:color w:val="auto"/>
    </w:rPr>
  </w:style>
  <w:style w:type="paragraph" w:customStyle="1" w:styleId="xl84">
    <w:name w:val="xl84"/>
    <w:basedOn w:val="Normlny"/>
    <w:rsid w:val="00F85C2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cs="Times New Roman"/>
      <w:color w:val="auto"/>
    </w:rPr>
  </w:style>
  <w:style w:type="character" w:customStyle="1" w:styleId="OdsekzoznamuChar">
    <w:name w:val="Odsek zoznamu Char"/>
    <w:aliases w:val="body Char,Odsek zoznamu2 Char,List Paragraph Char,Odsek Char"/>
    <w:link w:val="Odsekzoznamu"/>
    <w:uiPriority w:val="34"/>
    <w:locked/>
    <w:rsid w:val="00607DA3"/>
    <w:rPr>
      <w:rFonts w:cs="Arial Unicode MS"/>
      <w:color w:val="000000"/>
      <w:sz w:val="24"/>
      <w:szCs w:val="24"/>
      <w:u w:color="000000"/>
    </w:rPr>
  </w:style>
  <w:style w:type="character" w:customStyle="1" w:styleId="ra">
    <w:name w:val="ra"/>
    <w:basedOn w:val="Predvolenpsmoodseku"/>
    <w:rsid w:val="0086436B"/>
  </w:style>
  <w:style w:type="paragraph" w:styleId="Revzia">
    <w:name w:val="Revision"/>
    <w:hidden/>
    <w:uiPriority w:val="99"/>
    <w:semiHidden/>
    <w:rsid w:val="00D84220"/>
    <w:rPr>
      <w:rFonts w:cs="Arial Unicode MS"/>
      <w:color w:val="000000"/>
      <w:u w:color="000000"/>
    </w:rPr>
  </w:style>
  <w:style w:type="table" w:styleId="Mriekatabuky">
    <w:name w:val="Table Grid"/>
    <w:basedOn w:val="Normlnatabuka"/>
    <w:uiPriority w:val="59"/>
    <w:rsid w:val="00632694"/>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y"/>
    <w:link w:val="Zkladntext2Char"/>
    <w:uiPriority w:val="99"/>
    <w:semiHidden/>
    <w:unhideWhenUsed/>
    <w:rsid w:val="00EA2C1D"/>
    <w:pPr>
      <w:spacing w:after="120" w:line="480" w:lineRule="auto"/>
    </w:pPr>
  </w:style>
  <w:style w:type="character" w:customStyle="1" w:styleId="Zkladntext2Char">
    <w:name w:val="Základný text 2 Char"/>
    <w:basedOn w:val="Predvolenpsmoodseku"/>
    <w:link w:val="Zkladntext2"/>
    <w:uiPriority w:val="99"/>
    <w:semiHidden/>
    <w:rsid w:val="00EA2C1D"/>
    <w:rPr>
      <w:rFonts w:cs="Arial Unicode MS"/>
      <w:color w:val="000000"/>
      <w:sz w:val="24"/>
      <w:szCs w:val="24"/>
      <w:u w:color="000000"/>
    </w:rPr>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0"/>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paragraph" w:customStyle="1" w:styleId="21">
    <w:name w:val="2.1."/>
    <w:basedOn w:val="Normlny"/>
    <w:rsid w:val="00F410D1"/>
    <w:pPr>
      <w:numPr>
        <w:numId w:val="31"/>
      </w:numPr>
      <w:spacing w:line="20" w:lineRule="atLeast"/>
      <w:jc w:val="both"/>
    </w:pPr>
    <w:rPr>
      <w:rFonts w:ascii="Arial" w:eastAsia="Calibri" w:hAnsi="Arial" w:cs="Arial"/>
      <w:color w:val="auto"/>
      <w:sz w:val="16"/>
      <w:szCs w:val="16"/>
    </w:rPr>
  </w:style>
  <w:style w:type="paragraph" w:customStyle="1" w:styleId="Cyannadpis">
    <w:name w:val="Cyan nadpis"/>
    <w:rsid w:val="00F410D1"/>
    <w:pPr>
      <w:tabs>
        <w:tab w:val="num" w:pos="720"/>
      </w:tabs>
      <w:ind w:left="720" w:hanging="720"/>
    </w:pPr>
    <w:rPr>
      <w:rFonts w:ascii="Arial" w:eastAsia="Calibri" w:hAnsi="Arial" w:cs="Arial"/>
      <w:b/>
      <w:color w:val="009FE3"/>
      <w:sz w:val="18"/>
      <w:szCs w:val="18"/>
    </w:rPr>
  </w:style>
  <w:style w:type="paragraph" w:styleId="Register2">
    <w:name w:val="index 2"/>
    <w:basedOn w:val="Normlny"/>
    <w:next w:val="Normlny"/>
    <w:autoRedefine/>
    <w:semiHidden/>
    <w:rsid w:val="00F410D1"/>
    <w:pPr>
      <w:numPr>
        <w:ilvl w:val="2"/>
        <w:numId w:val="33"/>
      </w:numPr>
      <w:tabs>
        <w:tab w:val="left" w:pos="0"/>
        <w:tab w:val="num" w:pos="900"/>
      </w:tabs>
      <w:ind w:left="900" w:hanging="220"/>
      <w:jc w:val="both"/>
    </w:pPr>
    <w:rPr>
      <w:rFonts w:cs="Times New Roman"/>
      <w:color w:val="auto"/>
      <w:lang w:eastAsia="cs-CZ"/>
    </w:rPr>
  </w:style>
  <w:style w:type="table" w:customStyle="1" w:styleId="a2">
    <w:basedOn w:val="TableNormal0"/>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70" w:type="dxa"/>
        <w:right w:w="70" w:type="dxa"/>
      </w:tblCellMar>
    </w:tblPr>
  </w:style>
  <w:style w:type="table" w:customStyle="1" w:styleId="a5">
    <w:basedOn w:val="TableNormal0"/>
    <w:tblPr>
      <w:tblStyleRowBandSize w:val="1"/>
      <w:tblStyleColBandSize w:val="1"/>
      <w:tblCellMar>
        <w:left w:w="70" w:type="dxa"/>
        <w:right w:w="70" w:type="dxa"/>
      </w:tblCellMar>
    </w:tblPr>
  </w:style>
  <w:style w:type="table" w:customStyle="1" w:styleId="a6">
    <w:basedOn w:val="TableNormal0"/>
    <w:tblPr>
      <w:tblStyleRowBandSize w:val="1"/>
      <w:tblStyleColBandSize w:val="1"/>
      <w:tblCellMar>
        <w:left w:w="70" w:type="dxa"/>
        <w:right w:w="70" w:type="dxa"/>
      </w:tblCellMar>
    </w:tblPr>
  </w:style>
  <w:style w:type="table" w:customStyle="1" w:styleId="a7">
    <w:basedOn w:val="TableNormal0"/>
    <w:tblPr>
      <w:tblStyleRowBandSize w:val="1"/>
      <w:tblStyleColBandSize w:val="1"/>
      <w:tblCellMar>
        <w:left w:w="70" w:type="dxa"/>
        <w:right w:w="70" w:type="dxa"/>
      </w:tblCellMar>
    </w:tblPr>
  </w:style>
  <w:style w:type="table" w:customStyle="1" w:styleId="a8">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kte.sk/sk/kratkodoby-trh/zverejnenie-udajov-dt/celkove-vysledky-dt/" TargetMode="External"/><Relationship Id="rId13" Type="http://schemas.openxmlformats.org/officeDocument/2006/relationships/hyperlink" Target="https://veolia.whispli.com/ethiqu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vpsas.sk/protikorupcna-politik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vpsas.sk/udrzatelny-rozvoj/"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vpsas.sk/ochrana-osobnych-udajov/"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okte.sk" TargetMode="Externa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Motív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ív Office">
      <a:majorFont>
        <a:latin typeface="Helvetica Neue"/>
        <a:ea typeface="Helvetica Neue"/>
        <a:cs typeface="Helvetica Neue"/>
      </a:majorFont>
      <a:minorFont>
        <a:latin typeface="Helvetica Neue"/>
        <a:ea typeface="Helvetica Neue"/>
        <a:cs typeface="Helvetica Neue"/>
      </a:minorFont>
    </a:fontScheme>
    <a:fmtScheme name="Motív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c7DknM/8FhKAiIF+ejqP6RvZ/Q==">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8015</Words>
  <Characters>45691</Characters>
  <Application>Microsoft Office Word</Application>
  <DocSecurity>0</DocSecurity>
  <Lines>380</Lines>
  <Paragraphs>107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Vozár</dc:creator>
  <cp:lastModifiedBy>Imrich Vozar</cp:lastModifiedBy>
  <cp:revision>4</cp:revision>
  <cp:lastPrinted>2024-08-15T08:17:00Z</cp:lastPrinted>
  <dcterms:created xsi:type="dcterms:W3CDTF">2024-08-14T15:01:00Z</dcterms:created>
  <dcterms:modified xsi:type="dcterms:W3CDTF">2024-08-15T08:17:00Z</dcterms:modified>
</cp:coreProperties>
</file>